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147" w:rsidRPr="00292147" w:rsidRDefault="00292147">
      <w:pPr>
        <w:rPr>
          <w:b/>
          <w:u w:val="single"/>
        </w:rPr>
      </w:pPr>
      <w:r w:rsidRPr="00292147">
        <w:rPr>
          <w:b/>
          <w:u w:val="single"/>
        </w:rPr>
        <w:t>SR./A.- REQUIRENTE.-</w:t>
      </w:r>
    </w:p>
    <w:p w:rsidR="00292147" w:rsidRDefault="005B48DC">
      <w:r>
        <w:t xml:space="preserve">Es importante que </w:t>
      </w:r>
      <w:r w:rsidR="003F40BD">
        <w:t xml:space="preserve">completes </w:t>
      </w:r>
      <w:r>
        <w:t>con los datos solicitados</w:t>
      </w:r>
      <w:r w:rsidR="003F40BD">
        <w:t>, una vez hecho esto</w:t>
      </w:r>
      <w:r>
        <w:t xml:space="preserve"> nos envíes </w:t>
      </w:r>
      <w:r w:rsidR="003F40BD">
        <w:t xml:space="preserve">este documento adjunto </w:t>
      </w:r>
      <w:r>
        <w:t xml:space="preserve">a </w:t>
      </w:r>
      <w:r w:rsidR="003F40BD">
        <w:t>través del formulario de nuestra página web</w:t>
      </w:r>
      <w:r>
        <w:t>.</w:t>
      </w:r>
      <w:bookmarkStart w:id="0" w:name="_GoBack"/>
      <w:bookmarkEnd w:id="0"/>
    </w:p>
    <w:tbl>
      <w:tblPr>
        <w:tblStyle w:val="Tablaconcuadrcula"/>
        <w:tblW w:w="0" w:type="auto"/>
        <w:tblLook w:val="04A0" w:firstRow="1" w:lastRow="0" w:firstColumn="1" w:lastColumn="0" w:noHBand="0" w:noVBand="1"/>
      </w:tblPr>
      <w:tblGrid>
        <w:gridCol w:w="3220"/>
        <w:gridCol w:w="5116"/>
        <w:gridCol w:w="645"/>
        <w:gridCol w:w="648"/>
      </w:tblGrid>
      <w:tr w:rsidR="0081675D" w:rsidTr="00315868">
        <w:tc>
          <w:tcPr>
            <w:tcW w:w="3259" w:type="dxa"/>
          </w:tcPr>
          <w:p w:rsidR="0081675D" w:rsidRPr="00291CE9" w:rsidRDefault="0081675D" w:rsidP="00C8493D">
            <w:pPr>
              <w:rPr>
                <w:b/>
              </w:rPr>
            </w:pPr>
          </w:p>
        </w:tc>
        <w:tc>
          <w:tcPr>
            <w:tcW w:w="5216" w:type="dxa"/>
          </w:tcPr>
          <w:p w:rsidR="0081675D" w:rsidRDefault="0081675D" w:rsidP="00C8493D"/>
        </w:tc>
        <w:tc>
          <w:tcPr>
            <w:tcW w:w="652" w:type="dxa"/>
          </w:tcPr>
          <w:p w:rsidR="0081675D" w:rsidRDefault="0081675D" w:rsidP="00C8493D">
            <w:r>
              <w:t>SI</w:t>
            </w:r>
          </w:p>
        </w:tc>
        <w:tc>
          <w:tcPr>
            <w:tcW w:w="652" w:type="dxa"/>
          </w:tcPr>
          <w:p w:rsidR="0081675D" w:rsidRDefault="0081675D" w:rsidP="00C8493D">
            <w:r>
              <w:t>NO</w:t>
            </w:r>
          </w:p>
        </w:tc>
      </w:tr>
      <w:tr w:rsidR="0081675D" w:rsidTr="00315868">
        <w:tc>
          <w:tcPr>
            <w:tcW w:w="3259" w:type="dxa"/>
          </w:tcPr>
          <w:p w:rsidR="0081675D" w:rsidRPr="0081675D" w:rsidRDefault="0081675D" w:rsidP="00C8493D">
            <w:r w:rsidRPr="0081675D">
              <w:t>¿La propiedad que está adquiriendo va a ser su PRIMER VIVIENDA?</w:t>
            </w:r>
          </w:p>
        </w:tc>
        <w:tc>
          <w:tcPr>
            <w:tcW w:w="5216" w:type="dxa"/>
          </w:tcPr>
          <w:p w:rsidR="0081675D" w:rsidRDefault="0081675D" w:rsidP="00C8493D">
            <w:r>
              <w:t xml:space="preserve">Si usted no tiene otra propiedad y la que está por adquirir va a ser la primera, puede beneficiarse, </w:t>
            </w:r>
            <w:r w:rsidRPr="0081675D">
              <w:rPr>
                <w:b/>
              </w:rPr>
              <w:t>si corresponde</w:t>
            </w:r>
            <w:r>
              <w:t xml:space="preserve">, con una exención sobre el impuesto de sellos.- </w:t>
            </w:r>
          </w:p>
        </w:tc>
        <w:tc>
          <w:tcPr>
            <w:tcW w:w="652" w:type="dxa"/>
          </w:tcPr>
          <w:p w:rsidR="0081675D" w:rsidRDefault="0081675D" w:rsidP="00C8493D"/>
        </w:tc>
        <w:tc>
          <w:tcPr>
            <w:tcW w:w="652" w:type="dxa"/>
          </w:tcPr>
          <w:p w:rsidR="0081675D" w:rsidRDefault="0081675D" w:rsidP="00C8493D"/>
        </w:tc>
      </w:tr>
      <w:tr w:rsidR="0081675D" w:rsidTr="00315868">
        <w:tc>
          <w:tcPr>
            <w:tcW w:w="3259" w:type="dxa"/>
          </w:tcPr>
          <w:p w:rsidR="0081675D" w:rsidRPr="0081675D" w:rsidRDefault="0081675D" w:rsidP="00C8493D">
            <w:r>
              <w:t>¿Quiere afectar el inmueble a PROTECCION DE VIVIENDA (Bien de familia)?</w:t>
            </w:r>
          </w:p>
        </w:tc>
        <w:tc>
          <w:tcPr>
            <w:tcW w:w="5216" w:type="dxa"/>
          </w:tcPr>
          <w:p w:rsidR="0081675D" w:rsidRDefault="0081675D" w:rsidP="00C8493D">
            <w:r>
              <w:t xml:space="preserve">Solamente podrá afectar a Protección de Vivienda UNA UNICA PROPIEDAD EN LA CUAL VIVA.- Si lo desea puede designar beneficiarios. </w:t>
            </w:r>
            <w:r w:rsidRPr="00597995">
              <w:rPr>
                <w:color w:val="FF0000"/>
              </w:rPr>
              <w:t>Si designa beneficiarios necesitamos que nos brinde los datos completos de cada uno de ellos (son los mismos datos que le solicitamos a usted), además necesitamos que nos proporcione las respectivas partidas de nacimiento y/o matrimonio que acrediten el vínculo.-</w:t>
            </w:r>
          </w:p>
        </w:tc>
        <w:tc>
          <w:tcPr>
            <w:tcW w:w="652" w:type="dxa"/>
          </w:tcPr>
          <w:p w:rsidR="0081675D" w:rsidRDefault="0081675D" w:rsidP="00C8493D"/>
        </w:tc>
        <w:tc>
          <w:tcPr>
            <w:tcW w:w="652" w:type="dxa"/>
          </w:tcPr>
          <w:p w:rsidR="0081675D" w:rsidRDefault="0081675D" w:rsidP="00C8493D"/>
        </w:tc>
      </w:tr>
      <w:tr w:rsidR="00C1373F" w:rsidTr="00315868">
        <w:tc>
          <w:tcPr>
            <w:tcW w:w="3259" w:type="dxa"/>
          </w:tcPr>
          <w:p w:rsidR="00C1373F" w:rsidRDefault="00C1373F" w:rsidP="00C8493D">
            <w:r>
              <w:t>¿Es PERSONA EXPUESTA POLITICAMENTE?</w:t>
            </w:r>
          </w:p>
        </w:tc>
        <w:tc>
          <w:tcPr>
            <w:tcW w:w="5216" w:type="dxa"/>
          </w:tcPr>
          <w:p w:rsidR="00C1373F" w:rsidRDefault="00325EF3" w:rsidP="00C8493D">
            <w:r>
              <w:t xml:space="preserve">Por favor consulte el listado </w:t>
            </w:r>
            <w:bookmarkStart w:id="1" w:name="PEP"/>
            <w:r>
              <w:fldChar w:fldCharType="begin"/>
            </w:r>
            <w:r>
              <w:instrText xml:space="preserve"> HYPERLINK  \l "RESPEP" </w:instrText>
            </w:r>
            <w:r>
              <w:fldChar w:fldCharType="separate"/>
            </w:r>
            <w:r w:rsidRPr="00325EF3">
              <w:rPr>
                <w:rStyle w:val="Hipervnculo"/>
              </w:rPr>
              <w:t>AQUÍ</w:t>
            </w:r>
            <w:bookmarkEnd w:id="1"/>
            <w:r>
              <w:fldChar w:fldCharType="end"/>
            </w:r>
          </w:p>
        </w:tc>
        <w:tc>
          <w:tcPr>
            <w:tcW w:w="652" w:type="dxa"/>
          </w:tcPr>
          <w:p w:rsidR="00C1373F" w:rsidRDefault="00C1373F" w:rsidP="00C8493D"/>
        </w:tc>
        <w:tc>
          <w:tcPr>
            <w:tcW w:w="652" w:type="dxa"/>
          </w:tcPr>
          <w:p w:rsidR="00C1373F" w:rsidRDefault="00C1373F" w:rsidP="00C8493D"/>
        </w:tc>
      </w:tr>
      <w:tr w:rsidR="00C1373F" w:rsidTr="00315868">
        <w:tc>
          <w:tcPr>
            <w:tcW w:w="3259" w:type="dxa"/>
          </w:tcPr>
          <w:p w:rsidR="00C1373F" w:rsidRDefault="00C1373F" w:rsidP="00C8493D">
            <w:r>
              <w:t>¿Es Sujeto obligado a informar a la Unidad de Información Financiera – UIF?</w:t>
            </w:r>
          </w:p>
        </w:tc>
        <w:tc>
          <w:tcPr>
            <w:tcW w:w="5216" w:type="dxa"/>
          </w:tcPr>
          <w:p w:rsidR="00C1373F" w:rsidRDefault="00325EF3" w:rsidP="00C8493D">
            <w:r>
              <w:t xml:space="preserve">Por favor consulte el listado </w:t>
            </w:r>
            <w:bookmarkStart w:id="2" w:name="SO"/>
            <w:r w:rsidR="000A7738">
              <w:fldChar w:fldCharType="begin"/>
            </w:r>
            <w:r w:rsidR="000A7738">
              <w:instrText xml:space="preserve"> HYPERLINK  \l "LeySO" </w:instrText>
            </w:r>
            <w:r w:rsidR="000A7738">
              <w:fldChar w:fldCharType="separate"/>
            </w:r>
            <w:r w:rsidRPr="000A7738">
              <w:rPr>
                <w:rStyle w:val="Hipervnculo"/>
              </w:rPr>
              <w:t>AQUI</w:t>
            </w:r>
            <w:bookmarkEnd w:id="2"/>
            <w:r w:rsidR="000A7738">
              <w:fldChar w:fldCharType="end"/>
            </w:r>
          </w:p>
        </w:tc>
        <w:tc>
          <w:tcPr>
            <w:tcW w:w="652" w:type="dxa"/>
          </w:tcPr>
          <w:p w:rsidR="00C1373F" w:rsidRDefault="00C1373F" w:rsidP="00C8493D"/>
        </w:tc>
        <w:tc>
          <w:tcPr>
            <w:tcW w:w="652" w:type="dxa"/>
          </w:tcPr>
          <w:p w:rsidR="00C1373F" w:rsidRDefault="00C1373F" w:rsidP="00C8493D"/>
        </w:tc>
      </w:tr>
      <w:tr w:rsidR="00023AF9" w:rsidTr="00394B3B">
        <w:tc>
          <w:tcPr>
            <w:tcW w:w="3259" w:type="dxa"/>
          </w:tcPr>
          <w:p w:rsidR="00023AF9" w:rsidRDefault="00023AF9" w:rsidP="00C8493D">
            <w:r>
              <w:t>ORIGEN LICITO DEL DINERO</w:t>
            </w:r>
          </w:p>
        </w:tc>
        <w:tc>
          <w:tcPr>
            <w:tcW w:w="6520" w:type="dxa"/>
            <w:gridSpan w:val="3"/>
          </w:tcPr>
          <w:p w:rsidR="00023AF9" w:rsidRDefault="00023AF9" w:rsidP="00C8493D">
            <w:r>
              <w:t xml:space="preserve">Deberá declarar el origen del dinero con el que va a adquirir. </w:t>
            </w:r>
            <w:r w:rsidRPr="00023AF9">
              <w:rPr>
                <w:b/>
                <w:color w:val="FF0000"/>
              </w:rPr>
              <w:t>IMPORTANTE</w:t>
            </w:r>
            <w:r w:rsidRPr="00023AF9">
              <w:rPr>
                <w:color w:val="FF0000"/>
              </w:rPr>
              <w:t xml:space="preserve">: Si la operación supera los $ 8.800.000 (o su equivalente en U$S) </w:t>
            </w:r>
            <w:r w:rsidRPr="00023AF9">
              <w:rPr>
                <w:b/>
                <w:color w:val="FF0000"/>
              </w:rPr>
              <w:t>DEBERÁ JUSTIFICAR CON DOCUMENTACIÓN RESPALDATORIA EL ORIGEN DEL DINERO</w:t>
            </w:r>
            <w:r w:rsidRPr="00023AF9">
              <w:rPr>
                <w:color w:val="FF0000"/>
              </w:rPr>
              <w:t>.-</w:t>
            </w:r>
          </w:p>
        </w:tc>
      </w:tr>
    </w:tbl>
    <w:p w:rsidR="005565E2" w:rsidRDefault="005565E2"/>
    <w:p w:rsidR="00C1373F" w:rsidRDefault="00C1373F">
      <w:r>
        <w:t xml:space="preserve">La escribanía va a solicitar al vendedor el título de propiedad en ORIGINAL y otra documentación. Una vez que el vendedor facilite el título </w:t>
      </w:r>
      <w:r w:rsidR="00124F4D">
        <w:t>se realizará</w:t>
      </w:r>
      <w:r>
        <w:t xml:space="preserve"> el estudio de los antecedentes de dominio para asegurarle que el título es perfecto (este estudio puede demorar de una semana a 10 días), una vez que esté concluida esa etapa se solicitan los Certificados de Dominio, Inhibición y administrativos y se establece fecha de firma de escritura en el lugar y horario a coordinar con ambas partes.- </w:t>
      </w:r>
    </w:p>
    <w:p w:rsidR="0081675D" w:rsidRDefault="0081675D"/>
    <w:p w:rsidR="00212291" w:rsidRPr="005565E2" w:rsidRDefault="00212291" w:rsidP="00212291">
      <w:pPr>
        <w:rPr>
          <w:b/>
          <w:u w:val="single"/>
        </w:rPr>
      </w:pPr>
      <w:r w:rsidRPr="005565E2">
        <w:rPr>
          <w:b/>
          <w:u w:val="single"/>
        </w:rPr>
        <w:t xml:space="preserve">INFORMACION PERSONAL </w:t>
      </w:r>
      <w:r>
        <w:rPr>
          <w:b/>
          <w:u w:val="single"/>
        </w:rPr>
        <w:t>DE CADA UNO DE LOS VENDEDORES</w:t>
      </w:r>
    </w:p>
    <w:tbl>
      <w:tblPr>
        <w:tblStyle w:val="Tablaconcuadrcula"/>
        <w:tblW w:w="0" w:type="auto"/>
        <w:tblLook w:val="04A0" w:firstRow="1" w:lastRow="0" w:firstColumn="1" w:lastColumn="0" w:noHBand="0" w:noVBand="1"/>
      </w:tblPr>
      <w:tblGrid>
        <w:gridCol w:w="3219"/>
        <w:gridCol w:w="6410"/>
      </w:tblGrid>
      <w:tr w:rsidR="00212291" w:rsidTr="0096004D">
        <w:tc>
          <w:tcPr>
            <w:tcW w:w="3259" w:type="dxa"/>
          </w:tcPr>
          <w:p w:rsidR="00212291" w:rsidRPr="00291CE9" w:rsidRDefault="00212291" w:rsidP="0096004D">
            <w:pPr>
              <w:rPr>
                <w:b/>
              </w:rPr>
            </w:pPr>
            <w:r w:rsidRPr="00291CE9">
              <w:rPr>
                <w:b/>
              </w:rPr>
              <w:t>Nombre y Apellido Completo</w:t>
            </w:r>
          </w:p>
        </w:tc>
        <w:tc>
          <w:tcPr>
            <w:tcW w:w="6520" w:type="dxa"/>
          </w:tcPr>
          <w:p w:rsidR="00212291" w:rsidRDefault="00212291" w:rsidP="0096004D"/>
        </w:tc>
      </w:tr>
      <w:tr w:rsidR="00212291" w:rsidTr="0096004D">
        <w:tc>
          <w:tcPr>
            <w:tcW w:w="3259" w:type="dxa"/>
          </w:tcPr>
          <w:p w:rsidR="00212291" w:rsidRPr="00291CE9" w:rsidRDefault="00212291" w:rsidP="0096004D">
            <w:pPr>
              <w:rPr>
                <w:b/>
              </w:rPr>
            </w:pPr>
            <w:r w:rsidRPr="00291CE9">
              <w:rPr>
                <w:b/>
              </w:rPr>
              <w:t>Nacionalidad</w:t>
            </w:r>
          </w:p>
        </w:tc>
        <w:tc>
          <w:tcPr>
            <w:tcW w:w="6520" w:type="dxa"/>
          </w:tcPr>
          <w:p w:rsidR="00212291" w:rsidRDefault="00212291" w:rsidP="0096004D"/>
        </w:tc>
      </w:tr>
      <w:tr w:rsidR="00212291" w:rsidTr="0096004D">
        <w:tc>
          <w:tcPr>
            <w:tcW w:w="3259" w:type="dxa"/>
          </w:tcPr>
          <w:p w:rsidR="00212291" w:rsidRPr="00291CE9" w:rsidRDefault="00212291" w:rsidP="0096004D">
            <w:pPr>
              <w:rPr>
                <w:b/>
              </w:rPr>
            </w:pPr>
            <w:r w:rsidRPr="00291CE9">
              <w:rPr>
                <w:b/>
              </w:rPr>
              <w:t>Fecha de Nacimiento</w:t>
            </w:r>
          </w:p>
        </w:tc>
        <w:tc>
          <w:tcPr>
            <w:tcW w:w="6520" w:type="dxa"/>
          </w:tcPr>
          <w:p w:rsidR="00212291" w:rsidRDefault="00212291" w:rsidP="0096004D"/>
        </w:tc>
      </w:tr>
      <w:tr w:rsidR="00212291" w:rsidTr="0096004D">
        <w:tc>
          <w:tcPr>
            <w:tcW w:w="3259" w:type="dxa"/>
          </w:tcPr>
          <w:p w:rsidR="00212291" w:rsidRPr="00291CE9" w:rsidRDefault="00212291" w:rsidP="0096004D">
            <w:pPr>
              <w:rPr>
                <w:b/>
              </w:rPr>
            </w:pPr>
            <w:r w:rsidRPr="00291CE9">
              <w:rPr>
                <w:b/>
              </w:rPr>
              <w:t>DNI</w:t>
            </w:r>
          </w:p>
        </w:tc>
        <w:tc>
          <w:tcPr>
            <w:tcW w:w="6520" w:type="dxa"/>
          </w:tcPr>
          <w:p w:rsidR="00212291" w:rsidRDefault="00212291" w:rsidP="0096004D"/>
        </w:tc>
      </w:tr>
      <w:tr w:rsidR="00212291" w:rsidTr="0096004D">
        <w:tc>
          <w:tcPr>
            <w:tcW w:w="3259" w:type="dxa"/>
          </w:tcPr>
          <w:p w:rsidR="00212291" w:rsidRPr="00291CE9" w:rsidRDefault="00212291" w:rsidP="0096004D">
            <w:pPr>
              <w:rPr>
                <w:b/>
              </w:rPr>
            </w:pPr>
            <w:r w:rsidRPr="00291CE9">
              <w:rPr>
                <w:b/>
              </w:rPr>
              <w:t>CUIT – CUIL – CDI</w:t>
            </w:r>
          </w:p>
        </w:tc>
        <w:tc>
          <w:tcPr>
            <w:tcW w:w="6520" w:type="dxa"/>
          </w:tcPr>
          <w:p w:rsidR="00212291" w:rsidRDefault="00212291" w:rsidP="0096004D"/>
        </w:tc>
      </w:tr>
      <w:tr w:rsidR="00212291" w:rsidTr="0096004D">
        <w:tc>
          <w:tcPr>
            <w:tcW w:w="3259" w:type="dxa"/>
          </w:tcPr>
          <w:p w:rsidR="00212291" w:rsidRDefault="00212291" w:rsidP="0096004D">
            <w:r w:rsidRPr="00291CE9">
              <w:rPr>
                <w:b/>
              </w:rPr>
              <w:t>Nombre y Apellido</w:t>
            </w:r>
            <w:r>
              <w:t>, completo, de ambos Padres. Aun si estuvieran fallecidos.-</w:t>
            </w:r>
          </w:p>
        </w:tc>
        <w:tc>
          <w:tcPr>
            <w:tcW w:w="6520" w:type="dxa"/>
          </w:tcPr>
          <w:p w:rsidR="00212291" w:rsidRDefault="00212291" w:rsidP="0096004D"/>
        </w:tc>
      </w:tr>
      <w:tr w:rsidR="00212291" w:rsidTr="0096004D">
        <w:trPr>
          <w:trHeight w:val="675"/>
        </w:trPr>
        <w:tc>
          <w:tcPr>
            <w:tcW w:w="3259" w:type="dxa"/>
            <w:vMerge w:val="restart"/>
          </w:tcPr>
          <w:p w:rsidR="00212291" w:rsidRDefault="00212291" w:rsidP="0096004D">
            <w:r w:rsidRPr="00291CE9">
              <w:rPr>
                <w:b/>
              </w:rPr>
              <w:t>Estado Civil</w:t>
            </w:r>
            <w:r>
              <w:t xml:space="preserve"> – (Soltero-Casado-Divorciado-Viudo)</w:t>
            </w:r>
          </w:p>
          <w:p w:rsidR="00212291" w:rsidRDefault="00212291" w:rsidP="0096004D">
            <w:r>
              <w:t>(</w:t>
            </w:r>
            <w:r w:rsidRPr="002C5F56">
              <w:rPr>
                <w:color w:val="FF0000"/>
              </w:rPr>
              <w:t>Para los últimos 3 supuestos, nombre y apellido, completo del cónyuge y grado de nupcias</w:t>
            </w:r>
            <w:r>
              <w:t>)</w:t>
            </w:r>
          </w:p>
        </w:tc>
        <w:tc>
          <w:tcPr>
            <w:tcW w:w="6520" w:type="dxa"/>
          </w:tcPr>
          <w:p w:rsidR="00212291" w:rsidRDefault="00212291" w:rsidP="0096004D"/>
        </w:tc>
      </w:tr>
      <w:tr w:rsidR="00212291" w:rsidTr="0096004D">
        <w:trPr>
          <w:trHeight w:val="675"/>
        </w:trPr>
        <w:tc>
          <w:tcPr>
            <w:tcW w:w="3259" w:type="dxa"/>
            <w:vMerge/>
          </w:tcPr>
          <w:p w:rsidR="00212291" w:rsidRPr="00291CE9" w:rsidRDefault="00212291" w:rsidP="0096004D">
            <w:pPr>
              <w:rPr>
                <w:b/>
              </w:rPr>
            </w:pPr>
          </w:p>
        </w:tc>
        <w:tc>
          <w:tcPr>
            <w:tcW w:w="6520" w:type="dxa"/>
          </w:tcPr>
          <w:p w:rsidR="00212291" w:rsidRDefault="00212291" w:rsidP="0096004D">
            <w:r w:rsidRPr="002C5F56">
              <w:rPr>
                <w:b/>
                <w:color w:val="FF0000"/>
                <w:u w:val="single"/>
              </w:rPr>
              <w:t>NOTA</w:t>
            </w:r>
            <w:r w:rsidRPr="002C5F56">
              <w:rPr>
                <w:color w:val="FF0000"/>
              </w:rPr>
              <w:t>: Si es Divorciado/a. Tiene que presentar Partida de Matrimonio con la nota marginal del divorcio. O el testimonio judicial del divorcio.-</w:t>
            </w:r>
          </w:p>
        </w:tc>
      </w:tr>
      <w:tr w:rsidR="00212291" w:rsidTr="0096004D">
        <w:tc>
          <w:tcPr>
            <w:tcW w:w="3259" w:type="dxa"/>
          </w:tcPr>
          <w:p w:rsidR="00212291" w:rsidRDefault="00212291" w:rsidP="0096004D">
            <w:pPr>
              <w:rPr>
                <w:b/>
              </w:rPr>
            </w:pPr>
            <w:r>
              <w:rPr>
                <w:b/>
              </w:rPr>
              <w:lastRenderedPageBreak/>
              <w:t>Profesión</w:t>
            </w:r>
          </w:p>
        </w:tc>
        <w:tc>
          <w:tcPr>
            <w:tcW w:w="6520" w:type="dxa"/>
          </w:tcPr>
          <w:p w:rsidR="00212291" w:rsidRDefault="00212291" w:rsidP="0096004D"/>
        </w:tc>
      </w:tr>
      <w:tr w:rsidR="00212291" w:rsidTr="0096004D">
        <w:tc>
          <w:tcPr>
            <w:tcW w:w="3259" w:type="dxa"/>
          </w:tcPr>
          <w:p w:rsidR="00212291" w:rsidRPr="00291CE9" w:rsidRDefault="00212291" w:rsidP="0096004D">
            <w:pPr>
              <w:rPr>
                <w:b/>
              </w:rPr>
            </w:pPr>
            <w:r>
              <w:rPr>
                <w:b/>
              </w:rPr>
              <w:t>Domicilio</w:t>
            </w:r>
          </w:p>
        </w:tc>
        <w:tc>
          <w:tcPr>
            <w:tcW w:w="6520" w:type="dxa"/>
          </w:tcPr>
          <w:p w:rsidR="00212291" w:rsidRDefault="00212291" w:rsidP="0096004D"/>
        </w:tc>
      </w:tr>
      <w:tr w:rsidR="00212291" w:rsidTr="0096004D">
        <w:tc>
          <w:tcPr>
            <w:tcW w:w="3259" w:type="dxa"/>
          </w:tcPr>
          <w:p w:rsidR="00212291" w:rsidRDefault="00212291" w:rsidP="0096004D">
            <w:pPr>
              <w:rPr>
                <w:b/>
              </w:rPr>
            </w:pPr>
            <w:r>
              <w:rPr>
                <w:b/>
              </w:rPr>
              <w:t xml:space="preserve">Teléfono </w:t>
            </w:r>
          </w:p>
        </w:tc>
        <w:tc>
          <w:tcPr>
            <w:tcW w:w="6520" w:type="dxa"/>
          </w:tcPr>
          <w:p w:rsidR="00212291" w:rsidRDefault="00212291" w:rsidP="0096004D"/>
        </w:tc>
      </w:tr>
      <w:tr w:rsidR="00212291" w:rsidTr="0096004D">
        <w:tc>
          <w:tcPr>
            <w:tcW w:w="3259" w:type="dxa"/>
          </w:tcPr>
          <w:p w:rsidR="00212291" w:rsidRDefault="00212291" w:rsidP="0096004D">
            <w:pPr>
              <w:rPr>
                <w:b/>
              </w:rPr>
            </w:pPr>
            <w:r>
              <w:rPr>
                <w:b/>
              </w:rPr>
              <w:t>Correo Electrónico</w:t>
            </w:r>
          </w:p>
        </w:tc>
        <w:tc>
          <w:tcPr>
            <w:tcW w:w="6520" w:type="dxa"/>
          </w:tcPr>
          <w:p w:rsidR="00212291" w:rsidRDefault="00212291" w:rsidP="0096004D"/>
        </w:tc>
      </w:tr>
    </w:tbl>
    <w:p w:rsidR="00212291" w:rsidRDefault="00212291" w:rsidP="00212291"/>
    <w:tbl>
      <w:tblPr>
        <w:tblStyle w:val="Tablaconcuadrcula"/>
        <w:tblW w:w="0" w:type="auto"/>
        <w:tblLook w:val="04A0" w:firstRow="1" w:lastRow="0" w:firstColumn="1" w:lastColumn="0" w:noHBand="0" w:noVBand="1"/>
      </w:tblPr>
      <w:tblGrid>
        <w:gridCol w:w="3218"/>
        <w:gridCol w:w="5119"/>
        <w:gridCol w:w="644"/>
        <w:gridCol w:w="648"/>
      </w:tblGrid>
      <w:tr w:rsidR="00212291" w:rsidTr="0096004D">
        <w:tc>
          <w:tcPr>
            <w:tcW w:w="3259" w:type="dxa"/>
          </w:tcPr>
          <w:p w:rsidR="00212291" w:rsidRPr="00291CE9" w:rsidRDefault="00212291" w:rsidP="0096004D">
            <w:pPr>
              <w:rPr>
                <w:b/>
              </w:rPr>
            </w:pPr>
          </w:p>
        </w:tc>
        <w:tc>
          <w:tcPr>
            <w:tcW w:w="5216" w:type="dxa"/>
          </w:tcPr>
          <w:p w:rsidR="00212291" w:rsidRDefault="00212291" w:rsidP="0096004D"/>
        </w:tc>
        <w:tc>
          <w:tcPr>
            <w:tcW w:w="652" w:type="dxa"/>
          </w:tcPr>
          <w:p w:rsidR="00212291" w:rsidRDefault="00212291" w:rsidP="0096004D">
            <w:r>
              <w:t>SI</w:t>
            </w:r>
          </w:p>
        </w:tc>
        <w:tc>
          <w:tcPr>
            <w:tcW w:w="652" w:type="dxa"/>
          </w:tcPr>
          <w:p w:rsidR="00212291" w:rsidRDefault="00212291" w:rsidP="0096004D">
            <w:r>
              <w:t>NO</w:t>
            </w:r>
          </w:p>
        </w:tc>
      </w:tr>
      <w:tr w:rsidR="00212291" w:rsidTr="0096004D">
        <w:tc>
          <w:tcPr>
            <w:tcW w:w="3259" w:type="dxa"/>
          </w:tcPr>
          <w:p w:rsidR="00212291" w:rsidRPr="0081675D" w:rsidRDefault="00212291" w:rsidP="0096004D">
            <w:r>
              <w:t>¿Va a hacer reemplazo de vivienda?</w:t>
            </w:r>
          </w:p>
        </w:tc>
        <w:tc>
          <w:tcPr>
            <w:tcW w:w="5216" w:type="dxa"/>
          </w:tcPr>
          <w:p w:rsidR="00212291" w:rsidRDefault="00976EE3" w:rsidP="0096004D">
            <w:r>
              <w:t xml:space="preserve">Si opta por REEMPLAZAR la vivienda podría no pagar el IMPUESTO A LA TRANSFERENCIA DE INMUEBLE. Para ello deberá solicitar en AFIP el Certificado de </w:t>
            </w:r>
            <w:hyperlink w:anchor="AFIP" w:history="1">
              <w:r w:rsidRPr="00C16974">
                <w:rPr>
                  <w:rStyle w:val="Hipervnculo"/>
                </w:rPr>
                <w:t>NO RETENCION del ITI</w:t>
              </w:r>
            </w:hyperlink>
            <w:r>
              <w:t>.-</w:t>
            </w:r>
          </w:p>
        </w:tc>
        <w:tc>
          <w:tcPr>
            <w:tcW w:w="652" w:type="dxa"/>
          </w:tcPr>
          <w:p w:rsidR="00212291" w:rsidRDefault="00212291" w:rsidP="0096004D"/>
        </w:tc>
        <w:tc>
          <w:tcPr>
            <w:tcW w:w="652" w:type="dxa"/>
          </w:tcPr>
          <w:p w:rsidR="00212291" w:rsidRDefault="00212291" w:rsidP="0096004D"/>
        </w:tc>
      </w:tr>
      <w:tr w:rsidR="00212291" w:rsidTr="0096004D">
        <w:tc>
          <w:tcPr>
            <w:tcW w:w="3259" w:type="dxa"/>
          </w:tcPr>
          <w:p w:rsidR="00212291" w:rsidRPr="0081675D" w:rsidRDefault="00212291" w:rsidP="0096004D">
            <w:r>
              <w:t>¿Tramitó el Certificado de Oferta de Transferencia de Inmueble – COTI?</w:t>
            </w:r>
          </w:p>
        </w:tc>
        <w:tc>
          <w:tcPr>
            <w:tcW w:w="5216" w:type="dxa"/>
          </w:tcPr>
          <w:p w:rsidR="00212291" w:rsidRDefault="00976EE3" w:rsidP="0096004D">
            <w:r>
              <w:t>Si la operación supera el $ 1.</w:t>
            </w:r>
            <w:r w:rsidR="004F110E">
              <w:t xml:space="preserve">500.000 va a tener que tramitar, si aún no lo hizo, el Certificado </w:t>
            </w:r>
            <w:hyperlink w:anchor="AFIP" w:history="1">
              <w:r w:rsidR="004F110E" w:rsidRPr="00C16974">
                <w:rPr>
                  <w:rStyle w:val="Hipervnculo"/>
                </w:rPr>
                <w:t>COTI</w:t>
              </w:r>
            </w:hyperlink>
            <w:r w:rsidR="004F110E">
              <w:t xml:space="preserve"> a través de la página de AFIP.-</w:t>
            </w:r>
          </w:p>
        </w:tc>
        <w:tc>
          <w:tcPr>
            <w:tcW w:w="652" w:type="dxa"/>
          </w:tcPr>
          <w:p w:rsidR="00212291" w:rsidRDefault="00212291" w:rsidP="0096004D"/>
        </w:tc>
        <w:tc>
          <w:tcPr>
            <w:tcW w:w="652" w:type="dxa"/>
          </w:tcPr>
          <w:p w:rsidR="00212291" w:rsidRDefault="00212291" w:rsidP="0096004D"/>
        </w:tc>
      </w:tr>
      <w:tr w:rsidR="00212291" w:rsidTr="0096004D">
        <w:tc>
          <w:tcPr>
            <w:tcW w:w="3259" w:type="dxa"/>
          </w:tcPr>
          <w:p w:rsidR="00212291" w:rsidRDefault="00212291" w:rsidP="0096004D">
            <w:r>
              <w:t>¿El inmueble está afectado a Protección de Vivienda (Bien de Familia)?</w:t>
            </w:r>
          </w:p>
        </w:tc>
        <w:tc>
          <w:tcPr>
            <w:tcW w:w="5216" w:type="dxa"/>
          </w:tcPr>
          <w:p w:rsidR="00212291" w:rsidRDefault="004F110E" w:rsidP="0096004D">
            <w:r>
              <w:t>Podría, si lo desea, mantener reservada la afectación a PROTECCION DE VIVIENDA para el nuevo inmueble que vaya a adquirir.-</w:t>
            </w:r>
          </w:p>
        </w:tc>
        <w:tc>
          <w:tcPr>
            <w:tcW w:w="652" w:type="dxa"/>
          </w:tcPr>
          <w:p w:rsidR="00212291" w:rsidRDefault="00212291" w:rsidP="0096004D"/>
        </w:tc>
        <w:tc>
          <w:tcPr>
            <w:tcW w:w="652" w:type="dxa"/>
          </w:tcPr>
          <w:p w:rsidR="00212291" w:rsidRDefault="00212291" w:rsidP="0096004D"/>
        </w:tc>
      </w:tr>
      <w:tr w:rsidR="00023AF9" w:rsidTr="0096004D">
        <w:tc>
          <w:tcPr>
            <w:tcW w:w="3259" w:type="dxa"/>
          </w:tcPr>
          <w:p w:rsidR="00023AF9" w:rsidRDefault="00023AF9" w:rsidP="0096004D">
            <w:r>
              <w:t>¿Es PERSONA EXPUESTA POLITICAMENTE?</w:t>
            </w:r>
          </w:p>
        </w:tc>
        <w:tc>
          <w:tcPr>
            <w:tcW w:w="5216" w:type="dxa"/>
          </w:tcPr>
          <w:p w:rsidR="00023AF9" w:rsidRDefault="00023AF9" w:rsidP="0096004D">
            <w:r>
              <w:t xml:space="preserve">Por favor consulte el listado </w:t>
            </w:r>
            <w:hyperlink w:anchor="RESPEP" w:history="1">
              <w:r w:rsidRPr="00325EF3">
                <w:rPr>
                  <w:rStyle w:val="Hipervnculo"/>
                </w:rPr>
                <w:t>AQUÍ</w:t>
              </w:r>
            </w:hyperlink>
          </w:p>
        </w:tc>
        <w:tc>
          <w:tcPr>
            <w:tcW w:w="652" w:type="dxa"/>
          </w:tcPr>
          <w:p w:rsidR="00023AF9" w:rsidRDefault="00023AF9" w:rsidP="0096004D"/>
        </w:tc>
        <w:tc>
          <w:tcPr>
            <w:tcW w:w="652" w:type="dxa"/>
          </w:tcPr>
          <w:p w:rsidR="00023AF9" w:rsidRDefault="00023AF9" w:rsidP="0096004D"/>
        </w:tc>
      </w:tr>
      <w:tr w:rsidR="00023AF9" w:rsidTr="0096004D">
        <w:tc>
          <w:tcPr>
            <w:tcW w:w="3259" w:type="dxa"/>
          </w:tcPr>
          <w:p w:rsidR="00023AF9" w:rsidRDefault="00023AF9" w:rsidP="0096004D">
            <w:r>
              <w:t>¿Es Sujeto obligado a informar a la Unidad de Información Financiera – UIF?</w:t>
            </w:r>
          </w:p>
        </w:tc>
        <w:tc>
          <w:tcPr>
            <w:tcW w:w="5216" w:type="dxa"/>
          </w:tcPr>
          <w:p w:rsidR="00023AF9" w:rsidRDefault="00023AF9" w:rsidP="0096004D">
            <w:r>
              <w:t xml:space="preserve">Por favor consulte el listado </w:t>
            </w:r>
            <w:hyperlink w:anchor="LeySO" w:history="1">
              <w:r w:rsidRPr="00711759">
                <w:rPr>
                  <w:rStyle w:val="Hipervnculo"/>
                </w:rPr>
                <w:t>AQUI</w:t>
              </w:r>
            </w:hyperlink>
          </w:p>
        </w:tc>
        <w:tc>
          <w:tcPr>
            <w:tcW w:w="652" w:type="dxa"/>
          </w:tcPr>
          <w:p w:rsidR="00023AF9" w:rsidRDefault="00023AF9" w:rsidP="0096004D"/>
        </w:tc>
        <w:tc>
          <w:tcPr>
            <w:tcW w:w="652" w:type="dxa"/>
          </w:tcPr>
          <w:p w:rsidR="00023AF9" w:rsidRDefault="00023AF9" w:rsidP="0096004D"/>
        </w:tc>
      </w:tr>
    </w:tbl>
    <w:p w:rsidR="00212291" w:rsidRDefault="00212291" w:rsidP="00212291"/>
    <w:p w:rsidR="00212291" w:rsidRDefault="00212291" w:rsidP="00212291">
      <w:r>
        <w:t xml:space="preserve">La escribanía va a solicitar al vendedor el título de propiedad en ORIGINAL y otra documentación. Una vez que el vendedor facilite el título </w:t>
      </w:r>
      <w:r w:rsidR="00124F4D">
        <w:t>se realizará</w:t>
      </w:r>
      <w:r>
        <w:t xml:space="preserve"> el estudio de los antecedentes de dominio para asegurarle que el título es perfecto (este estudio puede demorar de una semana a 10 días), una vez que esté concluida esa etapa se solicitan los Certificados de Dominio, Inhibición y administrativos y se establece fecha de firma de escritura en el lugar y horario a coordinar con ambas partes.- </w:t>
      </w:r>
    </w:p>
    <w:p w:rsidR="00883EF2" w:rsidRDefault="00883EF2">
      <w:pPr>
        <w:rPr>
          <w:b/>
          <w:u w:val="single"/>
        </w:rPr>
      </w:pPr>
      <w:r>
        <w:rPr>
          <w:b/>
          <w:u w:val="single"/>
        </w:rPr>
        <w:t>DATOS DE LA OPERACIÓN</w:t>
      </w:r>
    </w:p>
    <w:p w:rsidR="00B53795" w:rsidRDefault="00D46836">
      <w:pPr>
        <w:rPr>
          <w:b/>
          <w:u w:val="single"/>
        </w:rPr>
      </w:pPr>
      <w:r w:rsidRPr="00D46836">
        <w:rPr>
          <w:b/>
          <w:color w:val="FF0000"/>
          <w:u w:val="single"/>
        </w:rPr>
        <w:t>MUY IMPORTANTE</w:t>
      </w:r>
      <w:r>
        <w:rPr>
          <w:b/>
          <w:u w:val="single"/>
        </w:rPr>
        <w:t xml:space="preserve">: Se tiene que presentar el TITULO DE PROPIEDAD ORIGINAL.- </w:t>
      </w:r>
    </w:p>
    <w:p w:rsidR="00B53795" w:rsidRDefault="00D46836">
      <w:pPr>
        <w:rPr>
          <w:b/>
        </w:rPr>
      </w:pPr>
      <w:r w:rsidRPr="00D46836">
        <w:t>Para realizar el estudio de antecedentes se puede enviar por mail copia del título escaneado</w:t>
      </w:r>
      <w:r w:rsidRPr="00D46836">
        <w:rPr>
          <w:b/>
        </w:rPr>
        <w:t xml:space="preserve">.- </w:t>
      </w:r>
    </w:p>
    <w:p w:rsidR="00B53795" w:rsidRDefault="00D46836">
      <w:pPr>
        <w:rPr>
          <w:b/>
          <w:color w:val="FF0000"/>
        </w:rPr>
      </w:pPr>
      <w:r w:rsidRPr="00D46836">
        <w:rPr>
          <w:b/>
          <w:color w:val="FF0000"/>
        </w:rPr>
        <w:t xml:space="preserve">PERO PARA SOLICITAR LOS CERTIFICADOS DE DOMINIO E INHIBICION SE REQUIERE EL ORIGINAL. </w:t>
      </w:r>
    </w:p>
    <w:p w:rsidR="00D46836" w:rsidRPr="00B53795" w:rsidRDefault="00D46836">
      <w:pPr>
        <w:rPr>
          <w:b/>
          <w:color w:val="FF0000"/>
        </w:rPr>
      </w:pPr>
      <w:r>
        <w:t>Tenga en cuenta que siempre que deje documentación original se le tiene que entregar el recibo correspondiente.-</w:t>
      </w:r>
    </w:p>
    <w:tbl>
      <w:tblPr>
        <w:tblStyle w:val="Tablaconcuadrcula"/>
        <w:tblW w:w="0" w:type="auto"/>
        <w:tblLook w:val="04A0" w:firstRow="1" w:lastRow="0" w:firstColumn="1" w:lastColumn="0" w:noHBand="0" w:noVBand="1"/>
      </w:tblPr>
      <w:tblGrid>
        <w:gridCol w:w="7205"/>
        <w:gridCol w:w="991"/>
        <w:gridCol w:w="1433"/>
      </w:tblGrid>
      <w:tr w:rsidR="00883EF2" w:rsidRPr="00883EF2" w:rsidTr="00F6727C">
        <w:tc>
          <w:tcPr>
            <w:tcW w:w="7333" w:type="dxa"/>
          </w:tcPr>
          <w:p w:rsidR="00883EF2" w:rsidRPr="00883EF2" w:rsidRDefault="00883EF2"/>
        </w:tc>
        <w:tc>
          <w:tcPr>
            <w:tcW w:w="997" w:type="dxa"/>
          </w:tcPr>
          <w:p w:rsidR="00883EF2" w:rsidRPr="00883EF2" w:rsidRDefault="00883EF2">
            <w:r w:rsidRPr="00883EF2">
              <w:t>CABA</w:t>
            </w:r>
          </w:p>
        </w:tc>
        <w:tc>
          <w:tcPr>
            <w:tcW w:w="1449" w:type="dxa"/>
          </w:tcPr>
          <w:p w:rsidR="00883EF2" w:rsidRPr="00883EF2" w:rsidRDefault="00883EF2">
            <w:r w:rsidRPr="00883EF2">
              <w:t>PCIA. BS.AS</w:t>
            </w:r>
          </w:p>
        </w:tc>
      </w:tr>
      <w:tr w:rsidR="00883EF2" w:rsidRPr="00883EF2" w:rsidTr="00192B4C">
        <w:tc>
          <w:tcPr>
            <w:tcW w:w="7333" w:type="dxa"/>
          </w:tcPr>
          <w:p w:rsidR="00883EF2" w:rsidRPr="00883EF2" w:rsidRDefault="00192B4C">
            <w:r w:rsidRPr="00192B4C">
              <w:rPr>
                <w:b/>
              </w:rPr>
              <w:t>Ubicación del Inmueble</w:t>
            </w:r>
            <w:r>
              <w:t>.- DOMICILIO:</w:t>
            </w:r>
          </w:p>
        </w:tc>
        <w:tc>
          <w:tcPr>
            <w:tcW w:w="997" w:type="dxa"/>
            <w:tcBorders>
              <w:bottom w:val="single" w:sz="4" w:space="0" w:color="auto"/>
            </w:tcBorders>
          </w:tcPr>
          <w:p w:rsidR="00883EF2" w:rsidRPr="00883EF2" w:rsidRDefault="00883EF2"/>
        </w:tc>
        <w:tc>
          <w:tcPr>
            <w:tcW w:w="1449" w:type="dxa"/>
          </w:tcPr>
          <w:p w:rsidR="00883EF2" w:rsidRPr="00883EF2" w:rsidRDefault="00883EF2"/>
        </w:tc>
      </w:tr>
      <w:tr w:rsidR="00883EF2" w:rsidRPr="00883EF2" w:rsidTr="00192B4C">
        <w:tc>
          <w:tcPr>
            <w:tcW w:w="7333" w:type="dxa"/>
          </w:tcPr>
          <w:p w:rsidR="00883EF2" w:rsidRPr="00883EF2" w:rsidRDefault="00192B4C">
            <w:r>
              <w:t>Boleta de ABL (Rentas de la Ciudad de Bs As)</w:t>
            </w:r>
          </w:p>
        </w:tc>
        <w:tc>
          <w:tcPr>
            <w:tcW w:w="997" w:type="dxa"/>
            <w:tcBorders>
              <w:bottom w:val="single" w:sz="4" w:space="0" w:color="auto"/>
            </w:tcBorders>
            <w:shd w:val="clear" w:color="auto" w:fill="000000" w:themeFill="text1"/>
          </w:tcPr>
          <w:p w:rsidR="00883EF2" w:rsidRPr="00883EF2" w:rsidRDefault="00883EF2"/>
        </w:tc>
        <w:tc>
          <w:tcPr>
            <w:tcW w:w="1449" w:type="dxa"/>
            <w:tcBorders>
              <w:bottom w:val="single" w:sz="4" w:space="0" w:color="auto"/>
            </w:tcBorders>
          </w:tcPr>
          <w:p w:rsidR="00883EF2" w:rsidRPr="00883EF2" w:rsidRDefault="00883EF2"/>
        </w:tc>
      </w:tr>
      <w:tr w:rsidR="00883EF2" w:rsidRPr="00883EF2" w:rsidTr="00192B4C">
        <w:tc>
          <w:tcPr>
            <w:tcW w:w="7333" w:type="dxa"/>
          </w:tcPr>
          <w:p w:rsidR="00883EF2" w:rsidRPr="00883EF2" w:rsidRDefault="00192B4C">
            <w:r>
              <w:t>Boleta de AYSA – Aguas</w:t>
            </w:r>
          </w:p>
        </w:tc>
        <w:tc>
          <w:tcPr>
            <w:tcW w:w="997" w:type="dxa"/>
            <w:shd w:val="clear" w:color="auto" w:fill="000000" w:themeFill="text1"/>
          </w:tcPr>
          <w:p w:rsidR="00883EF2" w:rsidRPr="00883EF2" w:rsidRDefault="00883EF2"/>
        </w:tc>
        <w:tc>
          <w:tcPr>
            <w:tcW w:w="1449" w:type="dxa"/>
            <w:tcBorders>
              <w:bottom w:val="single" w:sz="4" w:space="0" w:color="auto"/>
            </w:tcBorders>
            <w:shd w:val="clear" w:color="auto" w:fill="000000" w:themeFill="text1"/>
          </w:tcPr>
          <w:p w:rsidR="00883EF2" w:rsidRPr="00883EF2" w:rsidRDefault="00883EF2"/>
        </w:tc>
      </w:tr>
      <w:tr w:rsidR="00883EF2" w:rsidRPr="00883EF2" w:rsidTr="00192B4C">
        <w:tc>
          <w:tcPr>
            <w:tcW w:w="7333" w:type="dxa"/>
          </w:tcPr>
          <w:p w:rsidR="00883EF2" w:rsidRPr="00883EF2" w:rsidRDefault="00192B4C">
            <w:r>
              <w:t>Boleta de ARBA (Rentas de la Provincia de Bs As)</w:t>
            </w:r>
          </w:p>
        </w:tc>
        <w:tc>
          <w:tcPr>
            <w:tcW w:w="997" w:type="dxa"/>
          </w:tcPr>
          <w:p w:rsidR="00883EF2" w:rsidRPr="00883EF2" w:rsidRDefault="00883EF2"/>
        </w:tc>
        <w:tc>
          <w:tcPr>
            <w:tcW w:w="1449" w:type="dxa"/>
            <w:tcBorders>
              <w:bottom w:val="single" w:sz="4" w:space="0" w:color="auto"/>
            </w:tcBorders>
            <w:shd w:val="clear" w:color="auto" w:fill="000000" w:themeFill="text1"/>
          </w:tcPr>
          <w:p w:rsidR="00883EF2" w:rsidRPr="00883EF2" w:rsidRDefault="00883EF2"/>
        </w:tc>
      </w:tr>
      <w:tr w:rsidR="00883EF2" w:rsidRPr="00883EF2" w:rsidTr="00192B4C">
        <w:tc>
          <w:tcPr>
            <w:tcW w:w="7333" w:type="dxa"/>
          </w:tcPr>
          <w:p w:rsidR="00883EF2" w:rsidRPr="00883EF2" w:rsidRDefault="00192B4C">
            <w:r>
              <w:t xml:space="preserve">Boleta de Impuesto Municipal </w:t>
            </w:r>
          </w:p>
        </w:tc>
        <w:tc>
          <w:tcPr>
            <w:tcW w:w="997" w:type="dxa"/>
          </w:tcPr>
          <w:p w:rsidR="00883EF2" w:rsidRPr="00883EF2" w:rsidRDefault="00883EF2"/>
        </w:tc>
        <w:tc>
          <w:tcPr>
            <w:tcW w:w="1449" w:type="dxa"/>
            <w:tcBorders>
              <w:bottom w:val="single" w:sz="4" w:space="0" w:color="auto"/>
            </w:tcBorders>
            <w:shd w:val="clear" w:color="auto" w:fill="000000" w:themeFill="text1"/>
          </w:tcPr>
          <w:p w:rsidR="00883EF2" w:rsidRPr="00883EF2" w:rsidRDefault="00883EF2"/>
        </w:tc>
      </w:tr>
      <w:tr w:rsidR="00883EF2" w:rsidRPr="00883EF2" w:rsidTr="00192B4C">
        <w:tc>
          <w:tcPr>
            <w:tcW w:w="7333" w:type="dxa"/>
          </w:tcPr>
          <w:p w:rsidR="00883EF2" w:rsidRPr="00883EF2" w:rsidRDefault="00192B4C">
            <w:r>
              <w:t>Estado Parcelario Actualizado (Mensura)</w:t>
            </w:r>
          </w:p>
        </w:tc>
        <w:tc>
          <w:tcPr>
            <w:tcW w:w="997" w:type="dxa"/>
          </w:tcPr>
          <w:p w:rsidR="00883EF2" w:rsidRPr="00883EF2" w:rsidRDefault="00883EF2"/>
        </w:tc>
        <w:tc>
          <w:tcPr>
            <w:tcW w:w="1449" w:type="dxa"/>
            <w:shd w:val="clear" w:color="auto" w:fill="000000" w:themeFill="text1"/>
          </w:tcPr>
          <w:p w:rsidR="00883EF2" w:rsidRPr="00883EF2" w:rsidRDefault="00883EF2"/>
        </w:tc>
      </w:tr>
      <w:tr w:rsidR="00883EF2" w:rsidRPr="00883EF2" w:rsidTr="00F6727C">
        <w:tc>
          <w:tcPr>
            <w:tcW w:w="7333" w:type="dxa"/>
          </w:tcPr>
          <w:p w:rsidR="00883EF2" w:rsidRPr="00883EF2" w:rsidRDefault="00192B4C">
            <w:r>
              <w:t xml:space="preserve">Si es inmueble es un </w:t>
            </w:r>
            <w:r w:rsidRPr="00192B4C">
              <w:rPr>
                <w:b/>
                <w:color w:val="FF0000"/>
              </w:rPr>
              <w:t>Departamento</w:t>
            </w:r>
            <w:r w:rsidRPr="00192B4C">
              <w:rPr>
                <w:color w:val="FF0000"/>
              </w:rPr>
              <w:t xml:space="preserve"> </w:t>
            </w:r>
            <w:r>
              <w:t xml:space="preserve">/ Cochera / Lote en Barrio Cerrado. </w:t>
            </w:r>
            <w:r w:rsidRPr="00192B4C">
              <w:rPr>
                <w:b/>
                <w:color w:val="FF0000"/>
              </w:rPr>
              <w:t xml:space="preserve">Deberá informar datos </w:t>
            </w:r>
            <w:r w:rsidR="00D46836">
              <w:rPr>
                <w:b/>
                <w:color w:val="FF0000"/>
              </w:rPr>
              <w:t xml:space="preserve">de contacto </w:t>
            </w:r>
            <w:r w:rsidRPr="00192B4C">
              <w:rPr>
                <w:b/>
                <w:color w:val="FF0000"/>
              </w:rPr>
              <w:t>de la Administración para solicitar Libre Deuda de Expensas</w:t>
            </w:r>
            <w:r w:rsidR="00D46836">
              <w:rPr>
                <w:b/>
                <w:color w:val="FF0000"/>
              </w:rPr>
              <w:t xml:space="preserve"> (Teléfono, domicilio, correo electrónico)</w:t>
            </w:r>
            <w:r>
              <w:t>.- Si tiene disponible, Copia del REGLAMENTO DE COPROPIEDAD que rija el inmueble.-</w:t>
            </w:r>
          </w:p>
        </w:tc>
        <w:tc>
          <w:tcPr>
            <w:tcW w:w="997" w:type="dxa"/>
          </w:tcPr>
          <w:p w:rsidR="00883EF2" w:rsidRPr="00883EF2" w:rsidRDefault="00883EF2"/>
        </w:tc>
        <w:tc>
          <w:tcPr>
            <w:tcW w:w="1449" w:type="dxa"/>
          </w:tcPr>
          <w:p w:rsidR="00883EF2" w:rsidRPr="00883EF2" w:rsidRDefault="00883EF2"/>
        </w:tc>
      </w:tr>
      <w:tr w:rsidR="00883EF2" w:rsidRPr="00883EF2" w:rsidTr="00F6727C">
        <w:tc>
          <w:tcPr>
            <w:tcW w:w="7333" w:type="dxa"/>
          </w:tcPr>
          <w:p w:rsidR="00883EF2" w:rsidRPr="00883EF2" w:rsidRDefault="00192B4C">
            <w:r>
              <w:t>Si posee el plano de la vivienda, se ruega entregarlo.-</w:t>
            </w:r>
          </w:p>
        </w:tc>
        <w:tc>
          <w:tcPr>
            <w:tcW w:w="997" w:type="dxa"/>
          </w:tcPr>
          <w:p w:rsidR="00883EF2" w:rsidRPr="00883EF2" w:rsidRDefault="00883EF2"/>
        </w:tc>
        <w:tc>
          <w:tcPr>
            <w:tcW w:w="1449" w:type="dxa"/>
          </w:tcPr>
          <w:p w:rsidR="00883EF2" w:rsidRPr="00883EF2" w:rsidRDefault="00883EF2"/>
        </w:tc>
      </w:tr>
    </w:tbl>
    <w:p w:rsidR="00192B4C" w:rsidRDefault="00192B4C"/>
    <w:p w:rsidR="00D46836" w:rsidRDefault="00192B4C">
      <w:r>
        <w:t xml:space="preserve">Deberá indicar </w:t>
      </w:r>
      <w:r w:rsidRPr="00D46836">
        <w:rPr>
          <w:b/>
        </w:rPr>
        <w:t>IMPORTE DE LA OPERACIÓN Y FORMA DE PAGO</w:t>
      </w:r>
      <w:r>
        <w:t>.-</w:t>
      </w:r>
    </w:p>
    <w:p w:rsidR="00D46836" w:rsidRDefault="00D46836">
      <w:r>
        <w:t>Si la forma de pago es mediante transferencia bancaria: Se deberá informar</w:t>
      </w:r>
    </w:p>
    <w:p w:rsidR="00D46836" w:rsidRDefault="00D46836">
      <w:r>
        <w:t>Nº de Cuenta Bancaria</w:t>
      </w:r>
    </w:p>
    <w:p w:rsidR="00D46836" w:rsidRDefault="00D46836">
      <w:r>
        <w:t>Nº de CBU</w:t>
      </w:r>
    </w:p>
    <w:p w:rsidR="00D46836" w:rsidRDefault="00D46836">
      <w:r>
        <w:t>Banco y Sucursal donde esté radicada la cuenta</w:t>
      </w:r>
    </w:p>
    <w:p w:rsidR="00124F4D" w:rsidRDefault="00D46836">
      <w:r>
        <w:t>Nombre del o los titulares de la cuenta bancaria informada</w:t>
      </w:r>
    </w:p>
    <w:p w:rsidR="00124F4D" w:rsidRDefault="00124F4D">
      <w:r>
        <w:br w:type="page"/>
      </w:r>
    </w:p>
    <w:p w:rsidR="00124F4D" w:rsidRDefault="00124F4D">
      <w:pPr>
        <w:rPr>
          <w:b/>
          <w:bCs/>
        </w:rPr>
      </w:pPr>
      <w:bookmarkStart w:id="3" w:name="AFIP"/>
      <w:r w:rsidRPr="00124F4D">
        <w:rPr>
          <w:b/>
          <w:bCs/>
        </w:rPr>
        <w:lastRenderedPageBreak/>
        <w:t>TRAMITES ANTE LA AFIP</w:t>
      </w:r>
    </w:p>
    <w:p w:rsidR="0014539E" w:rsidRPr="00C16974" w:rsidRDefault="0014539E">
      <w:r w:rsidRPr="00C16974">
        <w:t>PARA TODO TRAMITE SE TIENE QUE OBTENER PREVIAMENTE LA CLAVE FISCAL.- PARA TRAMITAR EL COTI Y EL CERTIFICADO DE NO RETENCION ITI SE NECESITA CLAVE NIVEL DE SEGURIDAD 3</w:t>
      </w:r>
    </w:p>
    <w:p w:rsidR="0014539E" w:rsidRPr="00C16974" w:rsidRDefault="0014539E">
      <w:r w:rsidRPr="00C16974">
        <w:t xml:space="preserve">PARA TRAMITAR EL COTI Y EL CERTIFICADO DE NO RETENCION DE AFIP </w:t>
      </w:r>
      <w:r w:rsidR="00C16974" w:rsidRPr="00C16974">
        <w:t xml:space="preserve"> SE NECESITA TENER EL TITULO DE PROPIEDAD PORQUE SE NECESITAN DATOS DE LA ESCRITURA</w:t>
      </w:r>
    </w:p>
    <w:p w:rsidR="00C16974" w:rsidRPr="00C16974" w:rsidRDefault="00C16974">
      <w:r w:rsidRPr="00C16974">
        <w:t>SU TRAMITE LO PUEDE HACER USTED, LO PUEDE HACER SU CONTADOR, O PODEMOS ASISTIRLE PARA QUE LO REALICE, EN ESE CASO NOS TIENE QUE PROPORCIONAR SU CLAVE FISCAL Y CONTRASEÑA.-</w:t>
      </w:r>
    </w:p>
    <w:tbl>
      <w:tblPr>
        <w:tblStyle w:val="Tablaconcuadrcula"/>
        <w:tblW w:w="0" w:type="auto"/>
        <w:tblLook w:val="04A0" w:firstRow="1" w:lastRow="0" w:firstColumn="1" w:lastColumn="0" w:noHBand="0" w:noVBand="1"/>
      </w:tblPr>
      <w:tblGrid>
        <w:gridCol w:w="1097"/>
        <w:gridCol w:w="8532"/>
      </w:tblGrid>
      <w:tr w:rsidR="0014539E" w:rsidRPr="00124F4D" w:rsidTr="004868E4">
        <w:tc>
          <w:tcPr>
            <w:tcW w:w="977" w:type="dxa"/>
          </w:tcPr>
          <w:bookmarkEnd w:id="3"/>
          <w:p w:rsidR="0014539E" w:rsidRPr="00124F4D" w:rsidRDefault="0014539E" w:rsidP="004868E4">
            <w:pPr>
              <w:jc w:val="center"/>
              <w:rPr>
                <w:rFonts w:ascii="Times New Roman" w:hAnsi="Times New Roman" w:cs="Times New Roman"/>
                <w:b/>
                <w:bCs/>
                <w:sz w:val="24"/>
                <w:szCs w:val="24"/>
              </w:rPr>
            </w:pPr>
            <w:r>
              <w:rPr>
                <w:rFonts w:ascii="Times New Roman" w:hAnsi="Times New Roman" w:cs="Times New Roman"/>
                <w:b/>
                <w:bCs/>
                <w:color w:val="333333"/>
                <w:sz w:val="24"/>
                <w:szCs w:val="24"/>
                <w:bdr w:val="none" w:sz="0" w:space="0" w:color="auto" w:frame="1"/>
              </w:rPr>
              <w:t>CLAVE FISCAL</w:t>
            </w:r>
          </w:p>
        </w:tc>
        <w:tc>
          <w:tcPr>
            <w:tcW w:w="8802" w:type="dxa"/>
          </w:tcPr>
          <w:p w:rsidR="0014539E" w:rsidRDefault="0014539E" w:rsidP="0014539E">
            <w:r>
              <w:rPr>
                <w:rFonts w:ascii="Arial" w:hAnsi="Arial" w:cs="Arial"/>
                <w:color w:val="666666"/>
                <w:sz w:val="20"/>
                <w:szCs w:val="20"/>
                <w:u w:val="single"/>
                <w:bdr w:val="none" w:sz="0" w:space="0" w:color="auto" w:frame="1"/>
              </w:rPr>
              <w:t>Nivel de seguridad 3:</w:t>
            </w:r>
            <w:r>
              <w:rPr>
                <w:rFonts w:ascii="Arial" w:hAnsi="Arial" w:cs="Arial"/>
                <w:color w:val="666666"/>
                <w:sz w:val="20"/>
                <w:szCs w:val="20"/>
              </w:rPr>
              <w:br/>
            </w:r>
            <w:r>
              <w:rPr>
                <w:rFonts w:ascii="Arial" w:hAnsi="Arial" w:cs="Arial"/>
                <w:color w:val="666666"/>
                <w:sz w:val="20"/>
                <w:szCs w:val="20"/>
              </w:rPr>
              <w:br/>
            </w:r>
            <w:r>
              <w:rPr>
                <w:rFonts w:ascii="Arial" w:hAnsi="Arial" w:cs="Arial"/>
                <w:color w:val="666666"/>
                <w:sz w:val="20"/>
                <w:szCs w:val="20"/>
                <w:bdr w:val="none" w:sz="0" w:space="0" w:color="auto" w:frame="1"/>
              </w:rPr>
              <w:t>- Trámite electrónico:</w:t>
            </w:r>
            <w:r>
              <w:rPr>
                <w:rFonts w:ascii="Arial" w:hAnsi="Arial" w:cs="Arial"/>
                <w:color w:val="666666"/>
                <w:sz w:val="20"/>
                <w:szCs w:val="20"/>
              </w:rPr>
              <w:br/>
            </w:r>
            <w:r>
              <w:rPr>
                <w:rFonts w:ascii="Arial" w:hAnsi="Arial" w:cs="Arial"/>
                <w:color w:val="666666"/>
                <w:sz w:val="20"/>
                <w:szCs w:val="20"/>
              </w:rPr>
              <w:br/>
            </w:r>
            <w:r>
              <w:rPr>
                <w:rFonts w:ascii="Arial" w:hAnsi="Arial" w:cs="Arial"/>
                <w:color w:val="666666"/>
                <w:sz w:val="20"/>
                <w:szCs w:val="20"/>
                <w:bdr w:val="none" w:sz="0" w:space="0" w:color="auto" w:frame="1"/>
              </w:rPr>
              <w:t>Desde la app “Mi AFIP”, disponible para todos los dispositivos móviles con cámara de fotos frontal y acceso a internet. Son requisitos indispensables contar con DNI argentino en formato tarjeta y ser mayor de edad.</w:t>
            </w:r>
            <w:r>
              <w:rPr>
                <w:rFonts w:ascii="Arial" w:hAnsi="Arial" w:cs="Arial"/>
                <w:color w:val="666666"/>
                <w:sz w:val="20"/>
                <w:szCs w:val="20"/>
              </w:rPr>
              <w:br/>
            </w:r>
            <w:r>
              <w:rPr>
                <w:rFonts w:ascii="Arial" w:hAnsi="Arial" w:cs="Arial"/>
                <w:color w:val="666666"/>
                <w:sz w:val="20"/>
                <w:szCs w:val="20"/>
                <w:bdr w:val="none" w:sz="0" w:space="0" w:color="auto" w:frame="1"/>
              </w:rPr>
              <w:t>Para solicitar la clave fiscal, deberás ingresar al menú “Herramientas”, opción “Solicitud y/o recupero de clave fiscal”. Luego, deberás escanear el código de tu DNI y tomar fotografías de tu rostro.</w:t>
            </w:r>
          </w:p>
          <w:p w:rsidR="0014539E" w:rsidRDefault="0014539E" w:rsidP="004868E4">
            <w:pPr>
              <w:rPr>
                <w:rFonts w:ascii="Times New Roman" w:hAnsi="Times New Roman" w:cs="Times New Roman"/>
                <w:sz w:val="24"/>
                <w:szCs w:val="24"/>
              </w:rPr>
            </w:pPr>
          </w:p>
          <w:p w:rsidR="0014539E" w:rsidRPr="00124F4D" w:rsidRDefault="003F40BD" w:rsidP="0014539E">
            <w:pPr>
              <w:rPr>
                <w:rFonts w:ascii="Times New Roman" w:hAnsi="Times New Roman" w:cs="Times New Roman"/>
                <w:sz w:val="24"/>
                <w:szCs w:val="24"/>
              </w:rPr>
            </w:pPr>
            <w:hyperlink r:id="rId5" w:history="1">
              <w:r w:rsidR="0014539E" w:rsidRPr="009E78FC">
                <w:rPr>
                  <w:rStyle w:val="Hipervnculo"/>
                  <w:rFonts w:ascii="Times New Roman" w:hAnsi="Times New Roman" w:cs="Times New Roman"/>
                  <w:sz w:val="24"/>
                  <w:szCs w:val="24"/>
                </w:rPr>
                <w:t>https://serviciosweb.afip.gob.ar/genericos/guiaDeTramites/VerGuia.aspx?tr=16</w:t>
              </w:r>
            </w:hyperlink>
            <w:r w:rsidR="0014539E">
              <w:rPr>
                <w:rFonts w:ascii="Times New Roman" w:hAnsi="Times New Roman" w:cs="Times New Roman"/>
                <w:sz w:val="24"/>
                <w:szCs w:val="24"/>
              </w:rPr>
              <w:t xml:space="preserve"> </w:t>
            </w:r>
          </w:p>
        </w:tc>
      </w:tr>
    </w:tbl>
    <w:p w:rsidR="0014539E" w:rsidRDefault="0014539E"/>
    <w:tbl>
      <w:tblPr>
        <w:tblStyle w:val="Tablaconcuadrcula"/>
        <w:tblW w:w="0" w:type="auto"/>
        <w:tblLook w:val="04A0" w:firstRow="1" w:lastRow="0" w:firstColumn="1" w:lastColumn="0" w:noHBand="0" w:noVBand="1"/>
      </w:tblPr>
      <w:tblGrid>
        <w:gridCol w:w="1670"/>
        <w:gridCol w:w="7959"/>
      </w:tblGrid>
      <w:tr w:rsidR="00124F4D" w:rsidTr="008C0497">
        <w:tc>
          <w:tcPr>
            <w:tcW w:w="977" w:type="dxa"/>
          </w:tcPr>
          <w:p w:rsidR="00124F4D" w:rsidRPr="00124F4D" w:rsidRDefault="00124F4D" w:rsidP="0014539E">
            <w:pPr>
              <w:jc w:val="center"/>
              <w:rPr>
                <w:rFonts w:ascii="Times New Roman" w:hAnsi="Times New Roman" w:cs="Times New Roman"/>
                <w:b/>
                <w:bCs/>
                <w:sz w:val="24"/>
                <w:szCs w:val="24"/>
              </w:rPr>
            </w:pPr>
            <w:r w:rsidRPr="00124F4D">
              <w:rPr>
                <w:rFonts w:ascii="Times New Roman" w:hAnsi="Times New Roman" w:cs="Times New Roman"/>
                <w:b/>
                <w:bCs/>
                <w:color w:val="333333"/>
                <w:sz w:val="24"/>
                <w:szCs w:val="24"/>
                <w:bdr w:val="none" w:sz="0" w:space="0" w:color="auto" w:frame="1"/>
              </w:rPr>
              <w:t>COTI</w:t>
            </w:r>
          </w:p>
        </w:tc>
        <w:tc>
          <w:tcPr>
            <w:tcW w:w="8802" w:type="dxa"/>
          </w:tcPr>
          <w:p w:rsidR="00124F4D" w:rsidRPr="00124F4D" w:rsidRDefault="00124F4D" w:rsidP="00124F4D">
            <w:pPr>
              <w:pStyle w:val="Ttulo2"/>
              <w:spacing w:before="0" w:beforeAutospacing="0" w:after="0" w:afterAutospacing="0" w:line="540" w:lineRule="atLeast"/>
              <w:textAlignment w:val="baseline"/>
              <w:outlineLvl w:val="1"/>
              <w:rPr>
                <w:color w:val="333333"/>
                <w:sz w:val="24"/>
                <w:szCs w:val="24"/>
              </w:rPr>
            </w:pPr>
            <w:r w:rsidRPr="00124F4D">
              <w:rPr>
                <w:color w:val="333333"/>
                <w:sz w:val="24"/>
                <w:szCs w:val="24"/>
                <w:bdr w:val="none" w:sz="0" w:space="0" w:color="auto" w:frame="1"/>
              </w:rPr>
              <w:t>Código de Oferta de Transferencia de Inmuebles - COTI (R.G. 2371)</w:t>
            </w:r>
          </w:p>
          <w:p w:rsidR="00124F4D" w:rsidRPr="00124F4D" w:rsidRDefault="00124F4D" w:rsidP="00124F4D">
            <w:pPr>
              <w:pStyle w:val="Ttulo4"/>
              <w:spacing w:before="0" w:beforeAutospacing="0" w:after="0" w:afterAutospacing="0" w:line="360" w:lineRule="atLeast"/>
              <w:textAlignment w:val="baseline"/>
              <w:outlineLvl w:val="3"/>
              <w:rPr>
                <w:b w:val="0"/>
                <w:bCs w:val="0"/>
                <w:color w:val="333333"/>
              </w:rPr>
            </w:pPr>
            <w:r w:rsidRPr="00124F4D">
              <w:rPr>
                <w:b w:val="0"/>
                <w:bCs w:val="0"/>
                <w:color w:val="333333"/>
                <w:bdr w:val="none" w:sz="0" w:space="0" w:color="auto" w:frame="1"/>
              </w:rPr>
              <w:t>Es un régimen de información relativo a la negociación, oferta o transferencia de inmuebles, que deberá cumplirse siempre que el precio consignado en cualquiera de los actos aludidos, la base imponible fijada a los efectos del pago de los impuestos inmobiliarios, tributos similares o el valor fiscal, resulten iguales o superiores a $ 1.500.000.</w:t>
            </w:r>
          </w:p>
          <w:p w:rsidR="00124F4D" w:rsidRDefault="00124F4D">
            <w:pPr>
              <w:rPr>
                <w:rFonts w:ascii="Times New Roman" w:hAnsi="Times New Roman" w:cs="Times New Roman"/>
                <w:sz w:val="24"/>
                <w:szCs w:val="24"/>
              </w:rPr>
            </w:pPr>
          </w:p>
          <w:p w:rsidR="00124F4D" w:rsidRDefault="003F40BD">
            <w:pPr>
              <w:rPr>
                <w:rFonts w:ascii="Times New Roman" w:hAnsi="Times New Roman" w:cs="Times New Roman"/>
                <w:sz w:val="24"/>
                <w:szCs w:val="24"/>
              </w:rPr>
            </w:pPr>
            <w:hyperlink r:id="rId6" w:history="1">
              <w:r w:rsidR="0014539E" w:rsidRPr="009E78FC">
                <w:rPr>
                  <w:rStyle w:val="Hipervnculo"/>
                  <w:rFonts w:ascii="Times New Roman" w:hAnsi="Times New Roman" w:cs="Times New Roman"/>
                  <w:sz w:val="24"/>
                  <w:szCs w:val="24"/>
                </w:rPr>
                <w:t>https://serviciosweb.afip.gob.ar/genericos/guiaDeTramites/VerGuia.aspx?tr=55</w:t>
              </w:r>
            </w:hyperlink>
            <w:r w:rsidR="0014539E">
              <w:rPr>
                <w:rFonts w:ascii="Times New Roman" w:hAnsi="Times New Roman" w:cs="Times New Roman"/>
                <w:sz w:val="24"/>
                <w:szCs w:val="24"/>
              </w:rPr>
              <w:t xml:space="preserve"> </w:t>
            </w:r>
          </w:p>
          <w:p w:rsidR="0014539E" w:rsidRPr="00124F4D" w:rsidRDefault="0014539E">
            <w:pPr>
              <w:rPr>
                <w:rFonts w:ascii="Times New Roman" w:hAnsi="Times New Roman" w:cs="Times New Roman"/>
                <w:sz w:val="24"/>
                <w:szCs w:val="24"/>
              </w:rPr>
            </w:pPr>
          </w:p>
        </w:tc>
      </w:tr>
      <w:tr w:rsidR="00124F4D" w:rsidTr="00864480">
        <w:tc>
          <w:tcPr>
            <w:tcW w:w="977" w:type="dxa"/>
          </w:tcPr>
          <w:p w:rsidR="00124F4D" w:rsidRPr="0014539E" w:rsidRDefault="00124F4D" w:rsidP="0014539E">
            <w:pPr>
              <w:jc w:val="center"/>
              <w:rPr>
                <w:rFonts w:ascii="Times New Roman" w:hAnsi="Times New Roman" w:cs="Times New Roman"/>
                <w:b/>
                <w:bCs/>
                <w:sz w:val="24"/>
                <w:szCs w:val="24"/>
              </w:rPr>
            </w:pPr>
            <w:r w:rsidRPr="0014539E">
              <w:rPr>
                <w:rFonts w:ascii="Times New Roman" w:hAnsi="Times New Roman" w:cs="Times New Roman"/>
                <w:b/>
                <w:bCs/>
                <w:sz w:val="24"/>
                <w:szCs w:val="24"/>
              </w:rPr>
              <w:t>ITI</w:t>
            </w:r>
            <w:r w:rsidR="0014539E" w:rsidRPr="0014539E">
              <w:rPr>
                <w:rFonts w:ascii="Times New Roman" w:hAnsi="Times New Roman" w:cs="Times New Roman"/>
                <w:b/>
                <w:bCs/>
                <w:sz w:val="24"/>
                <w:szCs w:val="24"/>
              </w:rPr>
              <w:t xml:space="preserve"> – CERTIF. DE NO RETENCION</w:t>
            </w:r>
          </w:p>
        </w:tc>
        <w:tc>
          <w:tcPr>
            <w:tcW w:w="8802" w:type="dxa"/>
          </w:tcPr>
          <w:p w:rsidR="0014539E" w:rsidRPr="0014539E" w:rsidRDefault="0014539E" w:rsidP="0014539E">
            <w:pPr>
              <w:pStyle w:val="Ttulo2"/>
              <w:spacing w:before="0" w:beforeAutospacing="0" w:after="0" w:afterAutospacing="0" w:line="540" w:lineRule="atLeast"/>
              <w:textAlignment w:val="baseline"/>
              <w:outlineLvl w:val="1"/>
              <w:rPr>
                <w:color w:val="333333"/>
                <w:sz w:val="24"/>
                <w:szCs w:val="24"/>
              </w:rPr>
            </w:pPr>
            <w:r w:rsidRPr="0014539E">
              <w:rPr>
                <w:color w:val="333333"/>
                <w:sz w:val="24"/>
                <w:szCs w:val="24"/>
                <w:bdr w:val="none" w:sz="0" w:space="0" w:color="auto" w:frame="1"/>
              </w:rPr>
              <w:t>Impuesto a la Transferencia de Inmuebles - ITI</w:t>
            </w:r>
          </w:p>
          <w:p w:rsidR="0014539E" w:rsidRPr="0014539E" w:rsidRDefault="0014539E" w:rsidP="0014539E">
            <w:pPr>
              <w:pStyle w:val="Ttulo4"/>
              <w:spacing w:before="0" w:beforeAutospacing="0" w:after="0" w:afterAutospacing="0" w:line="360" w:lineRule="atLeast"/>
              <w:textAlignment w:val="baseline"/>
              <w:outlineLvl w:val="3"/>
              <w:rPr>
                <w:b w:val="0"/>
                <w:bCs w:val="0"/>
                <w:color w:val="333333"/>
              </w:rPr>
            </w:pPr>
            <w:r w:rsidRPr="0014539E">
              <w:rPr>
                <w:b w:val="0"/>
                <w:bCs w:val="0"/>
                <w:color w:val="333333"/>
                <w:bdr w:val="none" w:sz="0" w:space="0" w:color="auto" w:frame="1"/>
              </w:rPr>
              <w:t>Emitir el Certificado de No Retención, la Constancia de Valuación, o bien el Certificado de Retención, según corresponda.</w:t>
            </w:r>
          </w:p>
          <w:p w:rsidR="0014539E" w:rsidRPr="0014539E" w:rsidRDefault="0014539E" w:rsidP="0014539E">
            <w:pPr>
              <w:rPr>
                <w:rStyle w:val="Textoennegrita"/>
                <w:rFonts w:ascii="Times New Roman" w:hAnsi="Times New Roman" w:cs="Times New Roman"/>
                <w:color w:val="666666"/>
                <w:sz w:val="24"/>
                <w:szCs w:val="24"/>
                <w:bdr w:val="none" w:sz="0" w:space="0" w:color="auto" w:frame="1"/>
              </w:rPr>
            </w:pPr>
          </w:p>
          <w:p w:rsidR="0014539E" w:rsidRPr="0014539E" w:rsidRDefault="0014539E" w:rsidP="0014539E">
            <w:pPr>
              <w:rPr>
                <w:rStyle w:val="Textoennegrita"/>
                <w:rFonts w:ascii="Times New Roman" w:hAnsi="Times New Roman" w:cs="Times New Roman"/>
                <w:color w:val="666666"/>
                <w:sz w:val="24"/>
                <w:szCs w:val="24"/>
                <w:bdr w:val="none" w:sz="0" w:space="0" w:color="auto" w:frame="1"/>
              </w:rPr>
            </w:pPr>
          </w:p>
          <w:p w:rsidR="0014539E" w:rsidRPr="0014539E" w:rsidRDefault="0014539E" w:rsidP="0014539E">
            <w:pPr>
              <w:rPr>
                <w:rFonts w:ascii="Times New Roman" w:hAnsi="Times New Roman" w:cs="Times New Roman"/>
                <w:b/>
                <w:bCs/>
                <w:color w:val="666666"/>
                <w:sz w:val="24"/>
                <w:szCs w:val="24"/>
                <w:bdr w:val="none" w:sz="0" w:space="0" w:color="auto" w:frame="1"/>
              </w:rPr>
            </w:pPr>
            <w:r w:rsidRPr="0014539E">
              <w:rPr>
                <w:rStyle w:val="Textoennegrita"/>
                <w:rFonts w:ascii="Times New Roman" w:hAnsi="Times New Roman" w:cs="Times New Roman"/>
                <w:color w:val="666666"/>
                <w:sz w:val="24"/>
                <w:szCs w:val="24"/>
                <w:bdr w:val="none" w:sz="0" w:space="0" w:color="auto" w:frame="1"/>
              </w:rPr>
              <w:t>Certificado de no retención mediante el régimen general</w:t>
            </w:r>
            <w:r w:rsidRPr="0014539E">
              <w:rPr>
                <w:rFonts w:ascii="Times New Roman" w:hAnsi="Times New Roman" w:cs="Times New Roman"/>
                <w:color w:val="666666"/>
                <w:sz w:val="24"/>
                <w:szCs w:val="24"/>
              </w:rPr>
              <w:br/>
            </w:r>
            <w:r w:rsidRPr="0014539E">
              <w:rPr>
                <w:rFonts w:ascii="Times New Roman" w:hAnsi="Times New Roman" w:cs="Times New Roman"/>
                <w:color w:val="666666"/>
                <w:sz w:val="24"/>
                <w:szCs w:val="24"/>
              </w:rPr>
              <w:br/>
            </w:r>
            <w:r w:rsidRPr="0014539E">
              <w:rPr>
                <w:rFonts w:ascii="Times New Roman" w:hAnsi="Times New Roman" w:cs="Times New Roman"/>
                <w:color w:val="666666"/>
                <w:sz w:val="24"/>
                <w:szCs w:val="24"/>
                <w:shd w:val="clear" w:color="auto" w:fill="FFFFFF"/>
              </w:rPr>
              <w:t>La solicitud del</w:t>
            </w:r>
            <w:r w:rsidRPr="0014539E">
              <w:rPr>
                <w:rStyle w:val="apple-converted-space"/>
                <w:rFonts w:ascii="Times New Roman" w:hAnsi="Times New Roman" w:cs="Times New Roman"/>
                <w:color w:val="666666"/>
                <w:sz w:val="24"/>
                <w:szCs w:val="24"/>
                <w:shd w:val="clear" w:color="auto" w:fill="FFFFFF"/>
              </w:rPr>
              <w:t> </w:t>
            </w:r>
            <w:r w:rsidRPr="0014539E">
              <w:rPr>
                <w:rStyle w:val="Textoennegrita"/>
                <w:rFonts w:ascii="Times New Roman" w:hAnsi="Times New Roman" w:cs="Times New Roman"/>
                <w:color w:val="666666"/>
                <w:sz w:val="24"/>
                <w:szCs w:val="24"/>
                <w:bdr w:val="none" w:sz="0" w:space="0" w:color="auto" w:frame="1"/>
              </w:rPr>
              <w:t>certificado de no retención mediante el régimen general </w:t>
            </w:r>
            <w:r w:rsidRPr="0014539E">
              <w:rPr>
                <w:rFonts w:ascii="Times New Roman" w:hAnsi="Times New Roman" w:cs="Times New Roman"/>
                <w:color w:val="666666"/>
                <w:sz w:val="24"/>
                <w:szCs w:val="24"/>
                <w:shd w:val="clear" w:color="auto" w:fill="FFFFFF"/>
              </w:rPr>
              <w:t>deberá efectuarse con una antelación mínima de 20 días corridos al de la celebración del acto que genere el deber de retener.</w:t>
            </w:r>
          </w:p>
          <w:p w:rsidR="0014539E" w:rsidRPr="0014539E" w:rsidRDefault="0014539E" w:rsidP="0014539E">
            <w:pPr>
              <w:rPr>
                <w:rFonts w:ascii="Times New Roman" w:hAnsi="Times New Roman" w:cs="Times New Roman"/>
                <w:sz w:val="24"/>
                <w:szCs w:val="24"/>
              </w:rPr>
            </w:pPr>
          </w:p>
          <w:p w:rsidR="00124F4D" w:rsidRDefault="003F40BD">
            <w:hyperlink r:id="rId7" w:history="1">
              <w:r w:rsidR="0014539E" w:rsidRPr="009E78FC">
                <w:rPr>
                  <w:rStyle w:val="Hipervnculo"/>
                  <w:rFonts w:ascii="Times New Roman" w:hAnsi="Times New Roman" w:cs="Times New Roman"/>
                  <w:sz w:val="24"/>
                  <w:szCs w:val="24"/>
                </w:rPr>
                <w:t>https://serviciosweb.afip.gob.ar/genericos/guiaDeTramites/VerGuia.aspx?tr=43</w:t>
              </w:r>
            </w:hyperlink>
            <w:r w:rsidR="0014539E">
              <w:rPr>
                <w:rFonts w:ascii="Times New Roman" w:hAnsi="Times New Roman" w:cs="Times New Roman"/>
                <w:sz w:val="24"/>
                <w:szCs w:val="24"/>
              </w:rPr>
              <w:t xml:space="preserve"> </w:t>
            </w:r>
          </w:p>
          <w:p w:rsidR="0014539E" w:rsidRPr="0014539E" w:rsidRDefault="0014539E">
            <w:pPr>
              <w:rPr>
                <w:rFonts w:ascii="Times New Roman" w:hAnsi="Times New Roman" w:cs="Times New Roman"/>
                <w:sz w:val="24"/>
                <w:szCs w:val="24"/>
              </w:rPr>
            </w:pPr>
          </w:p>
        </w:tc>
      </w:tr>
    </w:tbl>
    <w:p w:rsidR="0014539E" w:rsidRDefault="0014539E"/>
    <w:p w:rsidR="00212291" w:rsidRPr="00883EF2" w:rsidRDefault="00C16974" w:rsidP="00C16974">
      <w:pPr>
        <w:jc w:val="right"/>
      </w:pPr>
      <w:r>
        <w:t>SUBIR</w:t>
      </w:r>
      <w:r w:rsidR="00212291" w:rsidRPr="00883EF2">
        <w:br w:type="page"/>
      </w:r>
    </w:p>
    <w:p w:rsidR="00D05EB0" w:rsidRPr="0099257A" w:rsidRDefault="00D05EB0" w:rsidP="00DC51D9">
      <w:pPr>
        <w:spacing w:line="240" w:lineRule="auto"/>
        <w:rPr>
          <w:b/>
          <w:color w:val="FF0000"/>
        </w:rPr>
      </w:pPr>
      <w:r w:rsidRPr="0099257A">
        <w:rPr>
          <w:b/>
          <w:color w:val="FF0000"/>
        </w:rPr>
        <w:lastRenderedPageBreak/>
        <w:t>UNIDAD DE INFORMACIÓN FINANCIERA</w:t>
      </w:r>
    </w:p>
    <w:p w:rsidR="00D05EB0" w:rsidRPr="0099257A" w:rsidRDefault="00D05EB0" w:rsidP="00DC51D9">
      <w:pPr>
        <w:spacing w:line="240" w:lineRule="auto"/>
        <w:rPr>
          <w:b/>
          <w:color w:val="FF0000"/>
        </w:rPr>
      </w:pPr>
      <w:r w:rsidRPr="0099257A">
        <w:rPr>
          <w:b/>
          <w:color w:val="FF0000"/>
        </w:rPr>
        <w:t>Resolución 134/2018</w:t>
      </w:r>
    </w:p>
    <w:p w:rsidR="00D05EB0" w:rsidRDefault="00D05EB0" w:rsidP="00DC51D9">
      <w:pPr>
        <w:spacing w:line="240" w:lineRule="auto"/>
      </w:pPr>
      <w:bookmarkStart w:id="4" w:name="RESPEP"/>
      <w:r>
        <w:t>RESOL-2018-134-APN-UIF#MHA</w:t>
      </w:r>
    </w:p>
    <w:bookmarkEnd w:id="4"/>
    <w:p w:rsidR="00D05EB0" w:rsidRDefault="00D05EB0" w:rsidP="00DC51D9">
      <w:pPr>
        <w:spacing w:line="240" w:lineRule="auto"/>
      </w:pPr>
      <w:r>
        <w:t>Ciudad de Buenos Aires, 21/11/2018</w:t>
      </w:r>
    </w:p>
    <w:p w:rsidR="00D05EB0" w:rsidRDefault="00D05EB0" w:rsidP="00DC51D9">
      <w:pPr>
        <w:spacing w:line="240" w:lineRule="auto"/>
      </w:pPr>
      <w:r>
        <w:t xml:space="preserve">VISTO </w:t>
      </w:r>
      <w:r w:rsidR="004C3245">
        <w:t xml:space="preserve"> …</w:t>
      </w:r>
    </w:p>
    <w:p w:rsidR="00D05EB0" w:rsidRDefault="00D05EB0" w:rsidP="00DC51D9">
      <w:pPr>
        <w:spacing w:line="240" w:lineRule="auto"/>
      </w:pPr>
      <w:r>
        <w:t>CONSIDERANDO:</w:t>
      </w:r>
      <w:r w:rsidR="004C3245">
        <w:t xml:space="preserve"> … </w:t>
      </w:r>
    </w:p>
    <w:p w:rsidR="00D05EB0" w:rsidRDefault="00D05EB0" w:rsidP="00DC51D9">
      <w:pPr>
        <w:spacing w:line="240" w:lineRule="auto"/>
      </w:pPr>
      <w:r>
        <w:t>Por ello,</w:t>
      </w:r>
    </w:p>
    <w:p w:rsidR="00D05EB0" w:rsidRDefault="00D05EB0" w:rsidP="00DC51D9">
      <w:pPr>
        <w:spacing w:line="240" w:lineRule="auto"/>
      </w:pPr>
      <w:r>
        <w:t>EL PRESIDENTE DE LA UNIDAD DE INFORMACIÓN FINANCIERA</w:t>
      </w:r>
    </w:p>
    <w:p w:rsidR="00D05EB0" w:rsidRDefault="00D05EB0" w:rsidP="00DC51D9">
      <w:pPr>
        <w:spacing w:line="240" w:lineRule="auto"/>
      </w:pPr>
      <w:r>
        <w:t>RESUELVE:</w:t>
      </w:r>
    </w:p>
    <w:p w:rsidR="00D05EB0" w:rsidRDefault="00D05EB0" w:rsidP="00DC51D9">
      <w:pPr>
        <w:spacing w:line="240" w:lineRule="auto"/>
      </w:pPr>
      <w:r>
        <w:t>ARTÍCULO 1º.- PERSONAS EXPUESTAS POLITICAMENTE EXTRANJERAS.</w:t>
      </w:r>
    </w:p>
    <w:p w:rsidR="00D05EB0" w:rsidRDefault="00D05EB0" w:rsidP="00DC51D9">
      <w:pPr>
        <w:spacing w:line="240" w:lineRule="auto"/>
      </w:pPr>
      <w:r>
        <w:t>Son consideradas Personas Expuestas Políticamente Extranjeras, los funcionarios públicos pertenecientes a países extranjeros, que se desempeñen o se hayan desempeñado, en alguno de los cargos que se detallan a continuación:</w:t>
      </w:r>
    </w:p>
    <w:p w:rsidR="00D05EB0" w:rsidRDefault="00D05EB0" w:rsidP="00DC51D9">
      <w:pPr>
        <w:spacing w:line="240" w:lineRule="auto"/>
      </w:pPr>
      <w:r>
        <w:t>a. Jefe de Estado, jefe de Gobierno, Gobernador, Intendente, Ministro, Secretario, Subsecretario de Estado u otro cargo gubernamental equivalente.</w:t>
      </w:r>
    </w:p>
    <w:p w:rsidR="00D05EB0" w:rsidRDefault="00D05EB0" w:rsidP="00DC51D9">
      <w:pPr>
        <w:spacing w:line="240" w:lineRule="auto"/>
      </w:pPr>
      <w:r>
        <w:t>b. Miembro del Parlamento, Poder Legislativo, o de otro órgano de naturaleza equivalente.</w:t>
      </w:r>
    </w:p>
    <w:p w:rsidR="00D05EB0" w:rsidRDefault="00D05EB0" w:rsidP="00DC51D9">
      <w:pPr>
        <w:spacing w:line="240" w:lineRule="auto"/>
      </w:pPr>
      <w:r>
        <w:t>c. Juez, Magistrado de Tribunales Superiores u otra alta instancia judicial, o administrativa, en el ámbito del Poder Judicial.</w:t>
      </w:r>
    </w:p>
    <w:p w:rsidR="00D05EB0" w:rsidRDefault="00D05EB0" w:rsidP="00DC51D9">
      <w:pPr>
        <w:spacing w:line="240" w:lineRule="auto"/>
      </w:pPr>
      <w:r>
        <w:t>d. Embajador o cónsul, de un país u organismo internacional.</w:t>
      </w:r>
    </w:p>
    <w:p w:rsidR="00D05EB0" w:rsidRDefault="00D05EB0" w:rsidP="00DC51D9">
      <w:pPr>
        <w:spacing w:line="240" w:lineRule="auto"/>
      </w:pPr>
      <w:r>
        <w:t>e. Autoridad, apoderado, integrantes del órgano de administración o control y miembros relevantes de partidos políticos extranjeros.</w:t>
      </w:r>
    </w:p>
    <w:p w:rsidR="00D05EB0" w:rsidRDefault="00D05EB0" w:rsidP="00DC51D9">
      <w:pPr>
        <w:spacing w:line="240" w:lineRule="auto"/>
      </w:pPr>
      <w:r>
        <w:t>f. Oficial de alto rango de las fuerzas armadas (a partir de coronel o grado equivalente en la fuerza y/o país de que se trate) o de las fuerzas de seguridad pública (a partir de comisario o rango equivalente según la fuerza y/o país de que se trate).</w:t>
      </w:r>
    </w:p>
    <w:p w:rsidR="00D05EB0" w:rsidRDefault="00D05EB0" w:rsidP="00DC51D9">
      <w:pPr>
        <w:spacing w:line="240" w:lineRule="auto"/>
      </w:pPr>
      <w:r>
        <w:t>g. Miembro de los órganos de dirección y control de empresas de propiedad estatal.</w:t>
      </w:r>
    </w:p>
    <w:p w:rsidR="00D05EB0" w:rsidRDefault="00D05EB0" w:rsidP="00DC51D9">
      <w:pPr>
        <w:spacing w:line="240" w:lineRule="auto"/>
      </w:pPr>
      <w:r>
        <w:t>h. Miembro de los órganos de dirección o control de empresas de propiedad privada o mixta; cuando el Estado posea una participación igual o superior al VEINTE POR CIENTO (20%) del capital o del derecho a voto, o ejerza de forma directa o indirecta el control de la compañía.</w:t>
      </w:r>
    </w:p>
    <w:p w:rsidR="00D05EB0" w:rsidRDefault="00D05EB0" w:rsidP="00DC51D9">
      <w:pPr>
        <w:spacing w:line="240" w:lineRule="auto"/>
      </w:pPr>
      <w:r>
        <w:t>i. Director, gobernador, consejero, síndico o autoridad equivalente de bancos centrales y otros organismos de regulación y/o supervisión.</w:t>
      </w:r>
    </w:p>
    <w:p w:rsidR="00D05EB0" w:rsidRDefault="00D05EB0" w:rsidP="00DC51D9">
      <w:pPr>
        <w:spacing w:line="240" w:lineRule="auto"/>
      </w:pPr>
      <w:r>
        <w:t>j. Director, subdirector; miembro de la junta, directorio, alta gerencia, o cargos equivalentes, apoderados, representantes legales o autorizados, de una organización internacional, con facultades de decisión, administración o disposición.</w:t>
      </w:r>
    </w:p>
    <w:p w:rsidR="00D05EB0" w:rsidRDefault="00D05EB0" w:rsidP="00DC51D9">
      <w:pPr>
        <w:spacing w:line="240" w:lineRule="auto"/>
      </w:pPr>
    </w:p>
    <w:p w:rsidR="00D05EB0" w:rsidRDefault="00D05EB0" w:rsidP="00DC51D9">
      <w:pPr>
        <w:spacing w:line="240" w:lineRule="auto"/>
      </w:pPr>
      <w:r>
        <w:t>ARTÍCULO 2º.- PERSONAS EXPUESTAS POLITICAMENTE NACIONALES.</w:t>
      </w:r>
    </w:p>
    <w:p w:rsidR="00D05EB0" w:rsidRDefault="00D05EB0" w:rsidP="00DC51D9">
      <w:pPr>
        <w:spacing w:line="240" w:lineRule="auto"/>
      </w:pPr>
      <w:r>
        <w:t>Son consideradas Personas Expuestas Políticamente Nacionales, los funcionarios públicos del país que se desempeñen o se hayan desempeñado en alguno de los siguientes cargos:</w:t>
      </w:r>
    </w:p>
    <w:p w:rsidR="00D05EB0" w:rsidRDefault="00D05EB0" w:rsidP="00DC51D9">
      <w:pPr>
        <w:spacing w:line="240" w:lineRule="auto"/>
      </w:pPr>
      <w:r>
        <w:lastRenderedPageBreak/>
        <w:t>a. Presidente o Vicepresidente de la Nación.</w:t>
      </w:r>
    </w:p>
    <w:p w:rsidR="00D05EB0" w:rsidRDefault="00D05EB0" w:rsidP="00DC51D9">
      <w:pPr>
        <w:spacing w:line="240" w:lineRule="auto"/>
      </w:pPr>
      <w:r>
        <w:t>b. Senador o Diputado de la Nación.</w:t>
      </w:r>
    </w:p>
    <w:p w:rsidR="00D05EB0" w:rsidRDefault="00D05EB0" w:rsidP="00DC51D9">
      <w:pPr>
        <w:spacing w:line="240" w:lineRule="auto"/>
      </w:pPr>
      <w:r>
        <w:t>c. Magistrado del Poder Judicial de la Nación.</w:t>
      </w:r>
    </w:p>
    <w:p w:rsidR="00D05EB0" w:rsidRDefault="00D05EB0" w:rsidP="00DC51D9">
      <w:pPr>
        <w:spacing w:line="240" w:lineRule="auto"/>
      </w:pPr>
      <w:r>
        <w:t>d. Magistrado del Ministerio Público de la Nación.</w:t>
      </w:r>
    </w:p>
    <w:p w:rsidR="00D05EB0" w:rsidRDefault="00D05EB0" w:rsidP="00DC51D9">
      <w:pPr>
        <w:spacing w:line="240" w:lineRule="auto"/>
      </w:pPr>
      <w:r>
        <w:t>e. Defensor del Pueblo de la Nación o Defensor del Pueblo Adjunto.</w:t>
      </w:r>
    </w:p>
    <w:p w:rsidR="00D05EB0" w:rsidRDefault="00D05EB0" w:rsidP="00DC51D9">
      <w:pPr>
        <w:spacing w:line="240" w:lineRule="auto"/>
      </w:pPr>
      <w:r>
        <w:t>f. Jefe de Gabinete de Ministros, Ministro, Secretario o Subsecretario del Poder Ejecutivo Nacional.</w:t>
      </w:r>
    </w:p>
    <w:p w:rsidR="00D05EB0" w:rsidRDefault="00D05EB0" w:rsidP="00DC51D9">
      <w:pPr>
        <w:spacing w:line="240" w:lineRule="auto"/>
      </w:pPr>
      <w:r>
        <w:t>g. Interventor federal, o colaboradores del interventor federal con categoría no inferior a Director o su equivalente.</w:t>
      </w:r>
    </w:p>
    <w:p w:rsidR="00D05EB0" w:rsidRDefault="00D05EB0" w:rsidP="00DC51D9">
      <w:pPr>
        <w:spacing w:line="240" w:lineRule="auto"/>
      </w:pPr>
      <w:r>
        <w:t>h. Síndico General de la Nación o Síndico General Adjunto de la Sindicatura General de la Nación; Presidente o Auditor General de la Auditoría General de la Nación; autoridad superior de un ente regulador o de los demás órganos que integran los sistemas de control del sector público nacional; miembros de organismos jurisdiccionales administrativos, o personal de dicho organismo, con categoría no inferior a la de director o su equivalente.</w:t>
      </w:r>
    </w:p>
    <w:p w:rsidR="00D05EB0" w:rsidRDefault="00D05EB0" w:rsidP="00DC51D9">
      <w:pPr>
        <w:spacing w:line="240" w:lineRule="auto"/>
      </w:pPr>
      <w:r>
        <w:t>i. Miembro del Consejo de la Magistratura de la Nación o del Jurado de Enjuiciamiento.</w:t>
      </w:r>
    </w:p>
    <w:p w:rsidR="00D05EB0" w:rsidRDefault="00D05EB0" w:rsidP="00DC51D9">
      <w:pPr>
        <w:spacing w:line="240" w:lineRule="auto"/>
      </w:pPr>
      <w:r>
        <w:t>j. Embajador o Cónsul.</w:t>
      </w:r>
    </w:p>
    <w:p w:rsidR="00D05EB0" w:rsidRDefault="00D05EB0" w:rsidP="00DC51D9">
      <w:pPr>
        <w:spacing w:line="240" w:lineRule="auto"/>
      </w:pPr>
      <w:r>
        <w:t>k. Personal de las Fuerzas Armadas, de la Policía Federal Argentina, de Gendarmería Nacional, de la Prefectura Naval Argentina, del Servicio Penitenciario Federal o de la Policía de Seguridad Aeroportuaria con jerarquía no menor de coronel o grado equivalente según la fuerza.</w:t>
      </w:r>
    </w:p>
    <w:p w:rsidR="00D05EB0" w:rsidRDefault="00D05EB0" w:rsidP="00DC51D9">
      <w:pPr>
        <w:spacing w:line="240" w:lineRule="auto"/>
      </w:pPr>
      <w:r>
        <w:t>l. Rector, Decano o Secretario d</w:t>
      </w:r>
      <w:r w:rsidR="004C3245">
        <w:t>e las Universidades Nacionales.</w:t>
      </w:r>
    </w:p>
    <w:p w:rsidR="00D05EB0" w:rsidRDefault="00D05EB0" w:rsidP="00DC51D9">
      <w:pPr>
        <w:spacing w:line="240" w:lineRule="auto"/>
      </w:pPr>
      <w:r>
        <w:t>m. Funcionario o empleado con categoría o función no inferior a la de Director General o Nacional, de la Administración Pública Nacional, centralizada o descentralizada, de entidades autárquicas, bancos y entidades financieras del sistema oficial, de las obras sociales administradas por el Estado, de empresas del Estado, las sociedades del Estado y el personal con similar categoría o función, designado a propuesta del Estado en sociedades de economía mixta, sociedades anónimas con participación estatal o en otros entes del sector público.</w:t>
      </w:r>
    </w:p>
    <w:p w:rsidR="00D05EB0" w:rsidRDefault="00D05EB0" w:rsidP="00DC51D9">
      <w:pPr>
        <w:spacing w:line="240" w:lineRule="auto"/>
      </w:pPr>
      <w:r>
        <w:t>n. Funcionario o empleado público nacional encargado de otorgar habilitaciones administrativas, permisos o concesiones, para el ejercicio de cualquier actividad; como así también todo funcionario o empleado público encargado de controlar el funcionamiento de dichas actividades o de ejercer cualquier otro control en virtud de un poder de policía.</w:t>
      </w:r>
    </w:p>
    <w:p w:rsidR="00D05EB0" w:rsidRDefault="00D05EB0" w:rsidP="00DC51D9">
      <w:pPr>
        <w:spacing w:line="240" w:lineRule="auto"/>
      </w:pPr>
      <w:r>
        <w:t>o. Funcionario público de algún organismo de control de servicios públicos, con categoría no inferior a la de Director General o Nacional.</w:t>
      </w:r>
    </w:p>
    <w:p w:rsidR="00D05EB0" w:rsidRDefault="00D05EB0" w:rsidP="00DC51D9">
      <w:pPr>
        <w:spacing w:line="240" w:lineRule="auto"/>
      </w:pPr>
      <w:r>
        <w:t>p. Personal del Poder Legislativo de la Nación, con categoría no inferior a la de Director.</w:t>
      </w:r>
    </w:p>
    <w:p w:rsidR="00D05EB0" w:rsidRDefault="00D05EB0" w:rsidP="00DC51D9">
      <w:pPr>
        <w:spacing w:line="240" w:lineRule="auto"/>
      </w:pPr>
      <w:r>
        <w:t>q. Personal del Poder Judicial de la Nación o del Ministerio Público de la Nación, con categoría no inferior a Secretario.</w:t>
      </w:r>
    </w:p>
    <w:p w:rsidR="00D05EB0" w:rsidRDefault="00D05EB0" w:rsidP="00DC51D9">
      <w:pPr>
        <w:spacing w:line="240" w:lineRule="auto"/>
      </w:pPr>
      <w:r>
        <w:t>r. Funcionario o empleado público que integre comisiones de adjudicación de licitaciones, de compra o de recepción de bienes, o participe en la toma de decisiones de licitaciones o compras.</w:t>
      </w:r>
    </w:p>
    <w:p w:rsidR="00D05EB0" w:rsidRDefault="00D05EB0" w:rsidP="00DC51D9">
      <w:pPr>
        <w:spacing w:line="240" w:lineRule="auto"/>
      </w:pPr>
      <w:r>
        <w:t>s. Funcionario público responsable de administrar un patrimonio público o privado, o controlar o fiscalizar los ingresos públicos cualquiera fuera su naturaleza.</w:t>
      </w:r>
    </w:p>
    <w:p w:rsidR="00D05EB0" w:rsidRDefault="00D05EB0" w:rsidP="00DC51D9">
      <w:pPr>
        <w:spacing w:line="240" w:lineRule="auto"/>
      </w:pPr>
      <w:r>
        <w:t>t. Director o Administrador de alguna entidad sometida al control externo del Honorable Congreso de la Nación, de conformidad con lo dispuesto en el artículo 120 de la Ley Nº 24.156.</w:t>
      </w:r>
    </w:p>
    <w:p w:rsidR="00D05EB0" w:rsidRDefault="00D05EB0" w:rsidP="00DC51D9">
      <w:pPr>
        <w:spacing w:line="240" w:lineRule="auto"/>
      </w:pPr>
    </w:p>
    <w:p w:rsidR="00D05EB0" w:rsidRDefault="00D05EB0" w:rsidP="00DC51D9">
      <w:pPr>
        <w:spacing w:line="240" w:lineRule="auto"/>
      </w:pPr>
      <w:r>
        <w:t>ARTÍCULO 3º.- PERSONAS EXPUESTAS POLITICAMENTE PROVINCIALES, MUNICIPALES Y DE LA CIUDAD AUTONOMA DE BUENOS AIRES.</w:t>
      </w:r>
    </w:p>
    <w:p w:rsidR="00D05EB0" w:rsidRDefault="00D05EB0" w:rsidP="00DC51D9">
      <w:pPr>
        <w:spacing w:line="240" w:lineRule="auto"/>
      </w:pPr>
      <w:r>
        <w:t>Son consideradas Personas Expuestas Políticamente, los funcionarios públicos que se desempeñen o se hayan desempeñado en alguno de los siguientes cargos, a nivel Provincial, Municipal o de la Ciudad Autónoma de Buenos Aires:</w:t>
      </w:r>
    </w:p>
    <w:p w:rsidR="00D05EB0" w:rsidRDefault="00D05EB0" w:rsidP="00DC51D9">
      <w:pPr>
        <w:spacing w:line="240" w:lineRule="auto"/>
      </w:pPr>
      <w:r>
        <w:t>a. Gobernador o Vicegobernador, Intendente o Vice-intendente, Jefe de Gobierno o Vicejefe de Gobierno.</w:t>
      </w:r>
    </w:p>
    <w:p w:rsidR="00D05EB0" w:rsidRDefault="00D05EB0" w:rsidP="00DC51D9">
      <w:pPr>
        <w:spacing w:line="240" w:lineRule="auto"/>
      </w:pPr>
      <w:r>
        <w:t>b. Ministro de Gobierno, Secretario, Subsecretario, Ministro de los Tribunales Superiores de Justicia de las provincias o de la Ciudad Autónoma de Buenos Aires.</w:t>
      </w:r>
    </w:p>
    <w:p w:rsidR="00D05EB0" w:rsidRDefault="00D05EB0" w:rsidP="00DC51D9">
      <w:pPr>
        <w:spacing w:line="240" w:lineRule="auto"/>
      </w:pPr>
      <w:r>
        <w:t>c. Juez o Secretario de los Poderes Judiciales Provinciales o de la Ciudad Autónoma de Buenos Aires.</w:t>
      </w:r>
    </w:p>
    <w:p w:rsidR="00D05EB0" w:rsidRDefault="00D05EB0" w:rsidP="00DC51D9">
      <w:pPr>
        <w:spacing w:line="240" w:lineRule="auto"/>
      </w:pPr>
      <w:r>
        <w:t>d. Magistrado perteneciente al Ministerio Público, o su equivalente, en las provincias o en la Ciudad Autónoma de Buenos Aires.</w:t>
      </w:r>
    </w:p>
    <w:p w:rsidR="00D05EB0" w:rsidRDefault="00D05EB0" w:rsidP="00DC51D9">
      <w:pPr>
        <w:spacing w:line="240" w:lineRule="auto"/>
      </w:pPr>
      <w:r>
        <w:t>e. Miembro del Consejo de la Magistratura o del Jurado de Enjuiciamiento, o su equivalente, de las Provincias o de la Ciudad Autónoma de Buenos Aires.</w:t>
      </w:r>
    </w:p>
    <w:p w:rsidR="00D05EB0" w:rsidRDefault="00D05EB0" w:rsidP="00DC51D9">
      <w:pPr>
        <w:spacing w:line="240" w:lineRule="auto"/>
      </w:pPr>
      <w:r>
        <w:t>f. Defensor del Pueblo o Defensor del Pueblo Adjunto, en las Provincias o en la Ciudad Autónoma de Buenos Aires.</w:t>
      </w:r>
    </w:p>
    <w:p w:rsidR="00D05EB0" w:rsidRDefault="00D05EB0" w:rsidP="00DC51D9">
      <w:pPr>
        <w:spacing w:line="240" w:lineRule="auto"/>
      </w:pPr>
      <w:r>
        <w:t>g. Jefe de Gabinete de Ministros, Ministro, Secretario o Subsecretario del Poder Ejecutivo de las Provincias o de la Ciudad Autónoma de Buenos Aires.</w:t>
      </w:r>
    </w:p>
    <w:p w:rsidR="00D05EB0" w:rsidRDefault="00D05EB0" w:rsidP="00DC51D9">
      <w:pPr>
        <w:spacing w:line="240" w:lineRule="auto"/>
      </w:pPr>
      <w:r>
        <w:t>h. Legislador provincial, municipal o de la Ciudad Autónoma de Buenos Aires.</w:t>
      </w:r>
    </w:p>
    <w:p w:rsidR="00D05EB0" w:rsidRDefault="00D05EB0" w:rsidP="00DC51D9">
      <w:pPr>
        <w:spacing w:line="240" w:lineRule="auto"/>
      </w:pPr>
      <w:r>
        <w:t>i. Máxima autoridad de los organismos de control o de los entes autárquicos provinciales, municipales o de la Ciudad Autónoma de Buenos Aires.</w:t>
      </w:r>
    </w:p>
    <w:p w:rsidR="00D05EB0" w:rsidRDefault="00D05EB0" w:rsidP="00DC51D9">
      <w:pPr>
        <w:spacing w:line="240" w:lineRule="auto"/>
      </w:pPr>
      <w:r>
        <w:t>j. Máxima autoridad de las sociedades de propiedad de los estados provinciales, municipales o de la Ciudad Autónoma de Buenos Aires.</w:t>
      </w:r>
    </w:p>
    <w:p w:rsidR="00D05EB0" w:rsidRDefault="00D05EB0" w:rsidP="00DC51D9">
      <w:pPr>
        <w:spacing w:line="240" w:lineRule="auto"/>
      </w:pPr>
      <w:r>
        <w:t>k. Rector, Decano o Secretario de universidades provinciales.</w:t>
      </w:r>
    </w:p>
    <w:p w:rsidR="00D05EB0" w:rsidRDefault="00D05EB0" w:rsidP="00DC51D9">
      <w:pPr>
        <w:spacing w:line="240" w:lineRule="auto"/>
      </w:pPr>
      <w:r>
        <w:t>l. Funcionario o empleado público encargado de otorgar habilitaciones administrativas, permisos o concesiones, para el ejercicio de cualquier actividad; como así también todo funcionario o empleado público encargado de controlar el funcionamiento de dichas actividades o de ejercer cualquier otro control en virtud de un poder de policía.</w:t>
      </w:r>
    </w:p>
    <w:p w:rsidR="00D05EB0" w:rsidRDefault="00D05EB0" w:rsidP="00DC51D9">
      <w:pPr>
        <w:spacing w:line="240" w:lineRule="auto"/>
      </w:pPr>
      <w:r>
        <w:t>m. Funcionario de organismos de control de los servicios públicos provinciales o de la Ciudad de Buenos Aires, con categoría no inferior a la de Director General o Provincial.</w:t>
      </w:r>
    </w:p>
    <w:p w:rsidR="00D05EB0" w:rsidRDefault="00D05EB0" w:rsidP="00DC51D9">
      <w:pPr>
        <w:spacing w:line="240" w:lineRule="auto"/>
      </w:pPr>
      <w:r>
        <w:t>n. Funcionario o empleado público que integre comisiones de adjudicación de licitaciones, de compra o de recepción de bienes, o participe en la toma de decisiones de licitaciones o compras.</w:t>
      </w:r>
    </w:p>
    <w:p w:rsidR="00D05EB0" w:rsidRDefault="00D05EB0" w:rsidP="00DC51D9">
      <w:pPr>
        <w:spacing w:line="240" w:lineRule="auto"/>
      </w:pPr>
      <w:r>
        <w:t>o. Funcionario público que tenga por función administrar un patrimonio público o privado, o controlar o fiscalizar los ingresos públicos cualquiera fuera su naturaleza.</w:t>
      </w:r>
    </w:p>
    <w:p w:rsidR="00D05EB0" w:rsidRDefault="00D05EB0" w:rsidP="00DC51D9">
      <w:pPr>
        <w:spacing w:line="240" w:lineRule="auto"/>
      </w:pPr>
    </w:p>
    <w:p w:rsidR="00D05EB0" w:rsidRDefault="00D05EB0" w:rsidP="00DC51D9">
      <w:pPr>
        <w:spacing w:line="240" w:lineRule="auto"/>
      </w:pPr>
      <w:r>
        <w:t>ARTÍCULO 4º.- OTRAS PERSONAS EXPUESTAS POLITICAMENTE.</w:t>
      </w:r>
    </w:p>
    <w:p w:rsidR="00D05EB0" w:rsidRDefault="00D05EB0" w:rsidP="00DC51D9">
      <w:pPr>
        <w:spacing w:line="240" w:lineRule="auto"/>
      </w:pPr>
      <w:r>
        <w:t>Sin perjuicio de lo expuesto en los artículos precedentes, son consideradas Personas Expuestas Políticamente aquellas personas que se desempeñen o se hayan desempeñado en alguno de los siguientes cargos:</w:t>
      </w:r>
    </w:p>
    <w:p w:rsidR="00D05EB0" w:rsidRDefault="00D05EB0" w:rsidP="00DC51D9">
      <w:pPr>
        <w:spacing w:line="240" w:lineRule="auto"/>
      </w:pPr>
      <w:r>
        <w:lastRenderedPageBreak/>
        <w:t>a. Autoridad, apoderado, candidato o miembro relevante de partidos políticos o alianzas electorales, ya sea a nivel nacional o distrital, de conformidad con lo establecido en las Leyes N° 23.298 y N° 26.215.</w:t>
      </w:r>
    </w:p>
    <w:p w:rsidR="00D05EB0" w:rsidRDefault="00D05EB0" w:rsidP="00DC51D9">
      <w:pPr>
        <w:spacing w:line="240" w:lineRule="auto"/>
      </w:pPr>
      <w:r>
        <w:t>b. Autoridad de los órganos de dirección y administración de organizaciones sindicales y empresariales (cámaras, asociaciones y otras formas de agrupación corporativa).</w:t>
      </w:r>
    </w:p>
    <w:p w:rsidR="00D05EB0" w:rsidRDefault="00D05EB0" w:rsidP="00DC51D9">
      <w:pPr>
        <w:spacing w:line="240" w:lineRule="auto"/>
      </w:pPr>
      <w:r>
        <w:t>Con respecto a las organizaciones sindicales, el alcance comprende a las personas humanas con capacidad de decisión, administración, control o disposición del patrimonio de la organización sindical.</w:t>
      </w:r>
    </w:p>
    <w:p w:rsidR="00D05EB0" w:rsidRDefault="00D05EB0" w:rsidP="00DC51D9">
      <w:pPr>
        <w:spacing w:line="240" w:lineRule="auto"/>
      </w:pPr>
      <w:r>
        <w:t>Con respecto a las organizaciones empresariales, el alcance comprende a las personas humanas de las mencionadas organizaciones que, en función de su cargo:</w:t>
      </w:r>
    </w:p>
    <w:p w:rsidR="00D05EB0" w:rsidRDefault="00D05EB0" w:rsidP="00DC51D9">
      <w:pPr>
        <w:spacing w:line="240" w:lineRule="auto"/>
      </w:pPr>
      <w:r>
        <w:t>1. tengan capacidad de decisión, administración, control o disposición sobre fondos provenientes del sector público nacional, provincial, municipal o de la Ciudad Autónoma de Buenos Aires, o</w:t>
      </w:r>
    </w:p>
    <w:p w:rsidR="00D05EB0" w:rsidRDefault="00D05EB0" w:rsidP="00DC51D9">
      <w:pPr>
        <w:spacing w:line="240" w:lineRule="auto"/>
      </w:pPr>
      <w:r>
        <w:t>2. realicen actividades con fines de lucro, para la organización o sus representados, que involucren la gestión, intermediación o contratación habitual con el Estado nacional, provincial, municipal o de la Ciudad Autónoma de Buenos Aires.</w:t>
      </w:r>
    </w:p>
    <w:p w:rsidR="00D05EB0" w:rsidRDefault="00D05EB0" w:rsidP="00DC51D9">
      <w:pPr>
        <w:spacing w:line="240" w:lineRule="auto"/>
      </w:pPr>
      <w:r>
        <w:t>(Inciso b) sustituido por art. 1° de la Resolución N° 15/2019 de la Unidad de Información Financiera B.O. 25/02/2019)</w:t>
      </w:r>
    </w:p>
    <w:p w:rsidR="00D05EB0" w:rsidRDefault="00D05EB0" w:rsidP="00DC51D9">
      <w:pPr>
        <w:spacing w:line="240" w:lineRule="auto"/>
      </w:pPr>
      <w:r>
        <w:t>c. Autoridad, representante legal o integrante de la Comisión Directiva de las obras sociales contempladas en la Ley Nº 23.660. El alcance comprende a las personas humanas de las mencionadas organizaciones con capacidad de decisión, administración, control o disposición del patrimonio de las obras sociales.</w:t>
      </w:r>
    </w:p>
    <w:p w:rsidR="00D05EB0" w:rsidRDefault="00D05EB0" w:rsidP="00DC51D9">
      <w:pPr>
        <w:spacing w:line="240" w:lineRule="auto"/>
      </w:pPr>
      <w:r>
        <w:t>d. Las personas humanas con capacidad de decisión, administración, control o disposición del patrimonio de personas jurídicas privadas en los términos del 148 del Código Civil y Comercial de la Nación, que reciban fondos públicos destinados a terceros y cuenten con poder de control y disposición respecto del destino de dichos fondos.</w:t>
      </w:r>
    </w:p>
    <w:p w:rsidR="00D05EB0" w:rsidRDefault="00D05EB0" w:rsidP="00DC51D9">
      <w:pPr>
        <w:spacing w:line="240" w:lineRule="auto"/>
      </w:pPr>
      <w:r>
        <w:t>(Inciso d) sustituido por art. 2° de la Resolución N° 15/2019 de la Unidad de Información Financiera B.O. 25/02/2019)</w:t>
      </w:r>
    </w:p>
    <w:p w:rsidR="00D05EB0" w:rsidRDefault="00D05EB0" w:rsidP="00DC51D9">
      <w:pPr>
        <w:spacing w:line="240" w:lineRule="auto"/>
      </w:pPr>
    </w:p>
    <w:p w:rsidR="00D05EB0" w:rsidRDefault="00D05EB0" w:rsidP="00DC51D9">
      <w:pPr>
        <w:spacing w:line="240" w:lineRule="auto"/>
      </w:pPr>
      <w:r>
        <w:t>ARTÍCULO 5º.- PERSONAS EXPUESTAS POLITICAMENTE POR CERCANÍA O AFINIDAD.</w:t>
      </w:r>
    </w:p>
    <w:p w:rsidR="00D05EB0" w:rsidRDefault="00D05EB0" w:rsidP="00DC51D9">
      <w:pPr>
        <w:spacing w:line="240" w:lineRule="auto"/>
      </w:pPr>
      <w:r>
        <w:t>Son consideradas Personas Expuestas Políticamente por cercanía o afinidad, todos aquellos sujetos que posean vínculos personales o jurídicos con quienes cumplan, o hayan cumplido, las funciones establecidas en los artículos 1° a 4° de la presente.</w:t>
      </w:r>
    </w:p>
    <w:p w:rsidR="00D05EB0" w:rsidRDefault="00D05EB0" w:rsidP="00DC51D9">
      <w:pPr>
        <w:spacing w:line="240" w:lineRule="auto"/>
      </w:pPr>
      <w:r>
        <w:t>A los fines indicados se consideran los siguientes vínculos:</w:t>
      </w:r>
    </w:p>
    <w:p w:rsidR="00D05EB0" w:rsidRDefault="00D05EB0" w:rsidP="00DC51D9">
      <w:pPr>
        <w:spacing w:line="240" w:lineRule="auto"/>
      </w:pPr>
      <w:r>
        <w:t>a. Cónyuge o conviviente reconocido legalmente.</w:t>
      </w:r>
    </w:p>
    <w:p w:rsidR="00D05EB0" w:rsidRDefault="00D05EB0" w:rsidP="00DC51D9">
      <w:pPr>
        <w:spacing w:line="240" w:lineRule="auto"/>
      </w:pPr>
      <w:r>
        <w:t>b. Familiares en línea ascendente, descendente, y colateral hasta el segundo grado de consanguinidad o afinidad.</w:t>
      </w:r>
    </w:p>
    <w:p w:rsidR="00D05EB0" w:rsidRDefault="00D05EB0" w:rsidP="00DC51D9">
      <w:pPr>
        <w:spacing w:line="240" w:lineRule="auto"/>
      </w:pPr>
      <w:r>
        <w:t>(Inciso b) sustituido por art. 3° de la Resolución N° 15/2019 de la Unidad de Información Financiera B.O. 25/02/2019)</w:t>
      </w:r>
    </w:p>
    <w:p w:rsidR="00D05EB0" w:rsidRDefault="00D05EB0" w:rsidP="00DC51D9">
      <w:pPr>
        <w:spacing w:line="240" w:lineRule="auto"/>
      </w:pPr>
      <w:r>
        <w:t>c. Personas allegadas o cercanas: debe entenderse como tales a aquellas personas públicas y comúnmente conocidas por su íntima asociación a la persona definida como Persona Expuesta Políticamente.</w:t>
      </w:r>
    </w:p>
    <w:p w:rsidR="00D05EB0" w:rsidRDefault="00D05EB0" w:rsidP="00DC51D9">
      <w:pPr>
        <w:spacing w:line="240" w:lineRule="auto"/>
      </w:pPr>
      <w:r>
        <w:t>d. Personas con las cuales se hayan establecido relaciones jurídicas de negocios del tipo asociativa, aún de carácter informal, cualquiera fuese su naturaleza.</w:t>
      </w:r>
    </w:p>
    <w:p w:rsidR="00D05EB0" w:rsidRDefault="00D05EB0" w:rsidP="00DC51D9">
      <w:pPr>
        <w:spacing w:line="240" w:lineRule="auto"/>
      </w:pPr>
      <w:r>
        <w:lastRenderedPageBreak/>
        <w:t>e. Toda otra relación o vínculo que por sus características y en función de un análisis basado en riesgo, a criterio del sujeto obligado, pueda resultar relevante.</w:t>
      </w:r>
    </w:p>
    <w:p w:rsidR="00D05EB0" w:rsidRDefault="00D05EB0" w:rsidP="00DC51D9">
      <w:pPr>
        <w:spacing w:line="240" w:lineRule="auto"/>
      </w:pPr>
    </w:p>
    <w:p w:rsidR="00D05EB0" w:rsidRDefault="00D05EB0" w:rsidP="00DC51D9">
      <w:pPr>
        <w:spacing w:line="240" w:lineRule="auto"/>
      </w:pPr>
      <w:r>
        <w:t>ARTÍCULO 6º.- ANALISIS DEL NIVEL DEL RIESGO. MONITOREO.</w:t>
      </w:r>
    </w:p>
    <w:p w:rsidR="00D05EB0" w:rsidRDefault="00D05EB0" w:rsidP="00DC51D9">
      <w:pPr>
        <w:spacing w:line="240" w:lineRule="auto"/>
      </w:pPr>
      <w:r>
        <w:t>Sin perjuicio de lo dispuesto en la regulación particular establecida para los sujetos obligados enumerados en el artículo 20 de la Ley 25.246, éstos deberán determinar el nivel de riesgo al momento de iniciar o continuar con la relación contractual con una Persona Expuesta Políticamente, contemplando al menos los siguientes parámetros:</w:t>
      </w:r>
    </w:p>
    <w:p w:rsidR="00D05EB0" w:rsidRDefault="00D05EB0" w:rsidP="00DC51D9">
      <w:pPr>
        <w:spacing w:line="240" w:lineRule="auto"/>
      </w:pPr>
      <w:r>
        <w:t>a. El objetivo y riesgo inherente de la relación comercial.</w:t>
      </w:r>
    </w:p>
    <w:p w:rsidR="00D05EB0" w:rsidRDefault="00D05EB0" w:rsidP="00DC51D9">
      <w:pPr>
        <w:spacing w:line="240" w:lineRule="auto"/>
      </w:pPr>
      <w:r>
        <w:t>b. Características de las operaciones:</w:t>
      </w:r>
    </w:p>
    <w:p w:rsidR="00D05EB0" w:rsidRDefault="00D05EB0" w:rsidP="00DC51D9">
      <w:pPr>
        <w:spacing w:line="240" w:lineRule="auto"/>
      </w:pPr>
      <w:r>
        <w:t>1. Cuantía, naturaleza y complejidad de los productos o servicios comprendidos, canales de distribución, localización geográfica y países vinculados a la operación u operaciones comerciales implicadas.</w:t>
      </w:r>
    </w:p>
    <w:p w:rsidR="00D05EB0" w:rsidRDefault="00D05EB0" w:rsidP="00DC51D9">
      <w:pPr>
        <w:spacing w:line="240" w:lineRule="auto"/>
      </w:pPr>
      <w:r>
        <w:t>2. Riesgo propio de las operaciones: uso de efectivo en forma intensiva, transacciones de alto valor, la complejidad y diversidad de productos o servicios, empleo de múltiples jurisdicciones, uso de patrimonios de afectación y la dificultad de identificar el beneficiario final.</w:t>
      </w:r>
    </w:p>
    <w:p w:rsidR="00D05EB0" w:rsidRDefault="00D05EB0" w:rsidP="00DC51D9">
      <w:pPr>
        <w:spacing w:line="240" w:lineRule="auto"/>
      </w:pPr>
      <w:r>
        <w:t>3. Origen de los fondos o bienes involucrados.</w:t>
      </w:r>
    </w:p>
    <w:p w:rsidR="00D05EB0" w:rsidRDefault="00D05EB0" w:rsidP="00DC51D9">
      <w:pPr>
        <w:spacing w:line="240" w:lineRule="auto"/>
      </w:pPr>
      <w:r>
        <w:t>c. Actuales o potenciales conflictos de intereses.</w:t>
      </w:r>
    </w:p>
    <w:p w:rsidR="00D05EB0" w:rsidRDefault="00D05EB0" w:rsidP="00DC51D9">
      <w:pPr>
        <w:spacing w:line="240" w:lineRule="auto"/>
      </w:pPr>
      <w:r>
        <w:t>d. Si el ejercicio de la función pública, guarda relación con actividades que poseen antecedentes de exposición a altos niveles de corrupción.</w:t>
      </w:r>
    </w:p>
    <w:p w:rsidR="00D05EB0" w:rsidRDefault="00D05EB0" w:rsidP="00DC51D9">
      <w:pPr>
        <w:spacing w:line="240" w:lineRule="auto"/>
      </w:pPr>
      <w:r>
        <w:t>e. Si el ejercicio de determinada función pública es de relevancia tal, que pudiera tornar dificultosa la implementación, por parte de los sujetos obligados, de las políticas y procedimientos de prevención del lavado de activos y el financiamiento del terrorismo.</w:t>
      </w:r>
    </w:p>
    <w:p w:rsidR="00D05EB0" w:rsidRDefault="00D05EB0" w:rsidP="00DC51D9">
      <w:pPr>
        <w:spacing w:line="240" w:lineRule="auto"/>
      </w:pPr>
      <w:r>
        <w:t>f. Vigencia del ejercicio de la función pública; una vez transcurridos dos años contados a partir de la fecha del cese en el ejericio de la función pública se deberá evaluar la situación del cliente o beneficiario final mediante un enfoque basado en riesgos, tomando en consideración la relevancia de la función desempeñada, la potestad de disposición y/o administración de fondos y la antigüedad en la función pública ejercida, entre otros factores de relevancia para el análisis del nivel de riesgo.</w:t>
      </w:r>
    </w:p>
    <w:p w:rsidR="00D05EB0" w:rsidRDefault="00D05EB0" w:rsidP="00DC51D9">
      <w:pPr>
        <w:spacing w:line="240" w:lineRule="auto"/>
      </w:pPr>
      <w:r>
        <w:t>Deberá asimismo tenerse en cuenta el ejercicio de cargos sucesivos en la misma, o diferente jurisdicción, su nivel jerárquico y relevancia.</w:t>
      </w:r>
    </w:p>
    <w:p w:rsidR="00D05EB0" w:rsidRDefault="00D05EB0" w:rsidP="00DC51D9">
      <w:pPr>
        <w:spacing w:line="240" w:lineRule="auto"/>
      </w:pPr>
      <w:r>
        <w:t>En atención a lo expuesto, las Personas Expuestas Políticamente serán objeto de medidas de debida diligencia, adecuadas y proporcionales al riesgo asociado y la operación u operaciones involucradas.</w:t>
      </w:r>
    </w:p>
    <w:p w:rsidR="00D05EB0" w:rsidRDefault="00D05EB0" w:rsidP="00DC51D9">
      <w:pPr>
        <w:spacing w:line="240" w:lineRule="auto"/>
      </w:pPr>
      <w:r>
        <w:t>El mismo tratamiento deberá propinarse a las personas consignadas en el artículo 5°, teniendo en consideración el grado de cercanía o afinidad con la Persona Expuesta Políticamente vinculada.</w:t>
      </w:r>
    </w:p>
    <w:p w:rsidR="00D05EB0" w:rsidRDefault="00D05EB0" w:rsidP="00DC51D9">
      <w:pPr>
        <w:spacing w:line="240" w:lineRule="auto"/>
      </w:pPr>
      <w:r>
        <w:t>En todos los casos tendrán que implementarse reglas de control de operaciones y alertas automatizadas, de modo que resulte posible monitorear, en forma intensa y continua, la ejecución de operaciones y su adecuación al Perfil del Cliente, su nivel de riesgo y las posibles desviaciones en éste; a fin de tomar medidas oportunas para impedir la comisión de los delitos contemplados en la Ley N° 25.246.</w:t>
      </w:r>
    </w:p>
    <w:p w:rsidR="00D05EB0" w:rsidRDefault="00D05EB0" w:rsidP="00DC51D9">
      <w:pPr>
        <w:spacing w:line="240" w:lineRule="auto"/>
      </w:pPr>
      <w:r>
        <w:t>Sin perjuicio de ello, los sujetos obligados deberán establecer niveles de aprobación de la relación con esta clase Clientes, en función del riesgo que estos presenten.</w:t>
      </w:r>
    </w:p>
    <w:p w:rsidR="00D05EB0" w:rsidRDefault="00D05EB0" w:rsidP="00DC51D9">
      <w:pPr>
        <w:spacing w:line="240" w:lineRule="auto"/>
      </w:pPr>
    </w:p>
    <w:p w:rsidR="00D05EB0" w:rsidRDefault="00D05EB0" w:rsidP="00DC51D9">
      <w:pPr>
        <w:spacing w:line="240" w:lineRule="auto"/>
      </w:pPr>
      <w:r>
        <w:lastRenderedPageBreak/>
        <w:t>ARTÍCULO 7º.- DECLARACIÓN JURADA DE PEP.</w:t>
      </w:r>
    </w:p>
    <w:p w:rsidR="00D05EB0" w:rsidRDefault="00D05EB0" w:rsidP="00DC51D9">
      <w:pPr>
        <w:spacing w:line="240" w:lineRule="auto"/>
      </w:pPr>
      <w:r>
        <w:t>Los sujetos obligados enumerados en el artículo 20 de la Ley N° 25.246, deberán requerir a sus Clientes, al momento de iniciar la relación contractual, que suscriban una declaración jurada donde manifiesten si revisten o no la condición de Persona Expuesta Políticamente.</w:t>
      </w:r>
    </w:p>
    <w:p w:rsidR="00D05EB0" w:rsidRDefault="00D05EB0" w:rsidP="00DC51D9">
      <w:pPr>
        <w:spacing w:line="240" w:lineRule="auto"/>
      </w:pPr>
      <w:r>
        <w:t>En forma previa a la firma de la declaración jurada de Persona Expuesta Políticamente, los sujetos obligados deberán poner en conocimiento de sus Clientes el contenido de la presente Resolución a fin de que manifiesten si se encuentran incluidos en la nómina de personas establecidas en los artículos 1° a 5°.</w:t>
      </w:r>
    </w:p>
    <w:p w:rsidR="00B74CC7" w:rsidRDefault="00D05EB0" w:rsidP="00DC51D9">
      <w:pPr>
        <w:spacing w:line="240" w:lineRule="auto"/>
      </w:pPr>
      <w:r>
        <w:t>La suscripción de la declaración jurada de Persona Expuesta Políticamente, podrá ser conformada tanto presencialmente o a través de medios electrónicos o digitales, dejando constancia de las evidencias correspondientes.</w:t>
      </w:r>
    </w:p>
    <w:p w:rsidR="00325EF3" w:rsidRDefault="00325EF3" w:rsidP="00325EF3">
      <w:pPr>
        <w:spacing w:line="240" w:lineRule="auto"/>
        <w:jc w:val="right"/>
      </w:pPr>
    </w:p>
    <w:p w:rsidR="00325EF3" w:rsidRDefault="003F40BD" w:rsidP="00325EF3">
      <w:pPr>
        <w:spacing w:line="240" w:lineRule="auto"/>
        <w:jc w:val="right"/>
      </w:pPr>
      <w:hyperlink w:anchor="PEP" w:history="1">
        <w:r w:rsidR="00325EF3" w:rsidRPr="00325EF3">
          <w:rPr>
            <w:rStyle w:val="Hipervnculo"/>
          </w:rPr>
          <w:t>VOLVER AL INICIO</w:t>
        </w:r>
      </w:hyperlink>
    </w:p>
    <w:p w:rsidR="00325EF3" w:rsidRDefault="00325EF3">
      <w:r>
        <w:br w:type="page"/>
      </w:r>
    </w:p>
    <w:p w:rsidR="00D46836" w:rsidRDefault="00D46836" w:rsidP="00D46836">
      <w:r>
        <w:lastRenderedPageBreak/>
        <w:t>CODIGO PENAL</w:t>
      </w:r>
    </w:p>
    <w:p w:rsidR="00D46836" w:rsidRDefault="00D46836" w:rsidP="00D46836">
      <w:r>
        <w:t>Ley 25.246</w:t>
      </w:r>
    </w:p>
    <w:p w:rsidR="00D46836" w:rsidRDefault="00AB6B17" w:rsidP="00D46836">
      <w:r>
        <w:t xml:space="preserve">(…) </w:t>
      </w:r>
      <w:r w:rsidR="00D46836">
        <w:t>El Senado y Cámara de Diputados</w:t>
      </w:r>
      <w:r>
        <w:t xml:space="preserve">  </w:t>
      </w:r>
      <w:r w:rsidR="00D46836">
        <w:t>de la Nación Argentina reunidos en Congreso,</w:t>
      </w:r>
      <w:r>
        <w:t xml:space="preserve"> </w:t>
      </w:r>
      <w:r w:rsidR="00D46836">
        <w:t>etc. sancionan con fuerza de</w:t>
      </w:r>
      <w:r>
        <w:t xml:space="preserve"> </w:t>
      </w:r>
      <w:r w:rsidR="00D46836">
        <w:t>Ley:</w:t>
      </w:r>
    </w:p>
    <w:p w:rsidR="00D46836" w:rsidRDefault="00AB6B17" w:rsidP="00D46836">
      <w:r>
        <w:t xml:space="preserve">(…) </w:t>
      </w:r>
      <w:r w:rsidR="00D46836">
        <w:t>CAPITULO III</w:t>
      </w:r>
    </w:p>
    <w:p w:rsidR="00D46836" w:rsidRPr="00AB6B17" w:rsidRDefault="00D46836" w:rsidP="00D46836">
      <w:pPr>
        <w:rPr>
          <w:b/>
        </w:rPr>
      </w:pPr>
      <w:bookmarkStart w:id="5" w:name="LeySO"/>
      <w:r w:rsidRPr="00AB6B17">
        <w:rPr>
          <w:b/>
        </w:rPr>
        <w:t>Deber de informar. Sujetos obligados</w:t>
      </w:r>
      <w:bookmarkEnd w:id="5"/>
    </w:p>
    <w:p w:rsidR="00D46836" w:rsidRDefault="00D46836" w:rsidP="00D46836">
      <w:r>
        <w:t>ARTICULO 20. — Están obligados a informar a la Unidad de Información Financiera (UIF), en los términos del artículo 21 de la presente ley:</w:t>
      </w:r>
    </w:p>
    <w:p w:rsidR="00D46836" w:rsidRDefault="00D46836" w:rsidP="00D46836">
      <w:r>
        <w:t>1. Las entidades financieras sujetas al régimen de la ley 21.526 y modificatorias.</w:t>
      </w:r>
    </w:p>
    <w:p w:rsidR="00D46836" w:rsidRDefault="00D46836" w:rsidP="00D46836">
      <w:r>
        <w:t>2. Las entidades sujetas al régimen de la ley 18.924 y modificatorias y las personas humanas o jurídicas autorizadas por el Banco Central de la República Argentina para operar en la compraventa de divisas bajo forma de dinero o de cheques extendidos en divisas o mediante el uso de tarjetas de crédito o pago, o en la transmisión de fondos dentro y fuera del territorio nacional.</w:t>
      </w:r>
    </w:p>
    <w:p w:rsidR="00D46836" w:rsidRDefault="00D46836" w:rsidP="00D46836">
      <w:r>
        <w:t>3. Las personas humanas o jurídicas que como actividad habitual exploten juegos de azar.</w:t>
      </w:r>
    </w:p>
    <w:p w:rsidR="00D46836" w:rsidRDefault="00D46836" w:rsidP="00D46836">
      <w:r>
        <w:t>4. Personas humanas y/o jurídicas registradas ante la Comisión Nacional de Valores para actuar como intermediarios en mercados autorizados por la citada comisión y aquellos que actúen en la colocación de Fondos Comunes de Inversión o de otros productos de inversión colectiva autorizados por dicho organismo. (Inciso sustituido por art. 200 de la Ley N° 27.440 B.O. 11/5/2018)</w:t>
      </w:r>
    </w:p>
    <w:p w:rsidR="00D46836" w:rsidRDefault="00D46836" w:rsidP="00D46836">
      <w:r>
        <w:t>5. Personas jurídicas autorizadas por la Comisión Nacional de Valores para actuar en el marco de sistemas de financiamiento colectivo a través del uso de portales web u otros medios análogos y demás personas jurídicas registradas en el citado organismo a cargo de la apertura del legajo e identificación del perfil del cliente para invertir en el ámbito del mercado de capitales. (Inciso sustituido por art. 200 de la Ley N° 27.440 B.O. 11/5/2018)</w:t>
      </w:r>
    </w:p>
    <w:p w:rsidR="00D46836" w:rsidRDefault="00D46836" w:rsidP="00D46836">
      <w:r>
        <w:t>6. Los registros públicos de comercio, los organismos representativos de fiscalización y control de personas jurídicas, los registros de la propiedad inmueble, los registros de la propiedad automotor, los registros prendarios, los registros de embarcaciones de todo tipo y los registros de aeronaves.</w:t>
      </w:r>
    </w:p>
    <w:p w:rsidR="00D46836" w:rsidRDefault="00D46836" w:rsidP="00D46836">
      <w:r>
        <w:t>7. Las personas humanas o jurídicas dedicadas a la compraventa de obras de arte, antigüedades u otros bienes suntuarios, inversión filatélica o numismática, o a la exportación, importación, elaboración o industralización de joyas o bienes con metales o piedras preciosas.</w:t>
      </w:r>
    </w:p>
    <w:p w:rsidR="00D46836" w:rsidRDefault="00D46836" w:rsidP="00D46836">
      <w:r>
        <w:t>8. Las empresas aseguradoras.</w:t>
      </w:r>
    </w:p>
    <w:p w:rsidR="00D46836" w:rsidRDefault="00D46836" w:rsidP="00D46836">
      <w:r>
        <w:t>9. Las empresas emisoras de cheques de viajero u operadoras de tarjetas de crédito o de compra.</w:t>
      </w:r>
    </w:p>
    <w:p w:rsidR="00D46836" w:rsidRDefault="00D46836" w:rsidP="00D46836">
      <w:r>
        <w:t>10. Las empresas dedicadas al transporte de caudales.</w:t>
      </w:r>
    </w:p>
    <w:p w:rsidR="00D46836" w:rsidRDefault="00D46836" w:rsidP="00D46836">
      <w:r>
        <w:t>11. Las empresas prestatarias o concesionarias de servicios postales que realicen operaciones de giros de divisas o de traslado de distintos tipos de moneda o billete.</w:t>
      </w:r>
    </w:p>
    <w:p w:rsidR="00D46836" w:rsidRDefault="00D46836" w:rsidP="00D46836"/>
    <w:p w:rsidR="00D46836" w:rsidRDefault="00D46836" w:rsidP="00D46836">
      <w:r>
        <w:lastRenderedPageBreak/>
        <w:t>12. Los escribanos públicos.</w:t>
      </w:r>
    </w:p>
    <w:p w:rsidR="00D46836" w:rsidRDefault="00D46836" w:rsidP="00D46836">
      <w:r>
        <w:t>13. Las entidades comprendidas en el artículo 9º de la ley 22.315.</w:t>
      </w:r>
    </w:p>
    <w:p w:rsidR="00D46836" w:rsidRDefault="00D46836" w:rsidP="00D46836">
      <w:r>
        <w:t>14. Los despachantes de aduana definidos en el artículo 36 y concordantes del Código Aduanero (ley 22.415 y modificatorias).</w:t>
      </w:r>
    </w:p>
    <w:p w:rsidR="00D46836" w:rsidRDefault="00D46836" w:rsidP="00D46836">
      <w:r>
        <w:t>15. Los organismos de la Administración Pública y entidades descentralizadas y/o autárquicas que ejercen funciones regulatorias, de control, supervisión y/o superintendencia sobre actividades económicas y/o negocios jurídicos y/o sobre sujetos de derecho, individuales o colectivos: el Banco Central de la República Argentina, la Administración Federal de Ingresos Públicos, la Superintendencia de Seguros de la Nación, la Comisión Nacional de Valores, la Inspección General de Justicia, el Instituto Nacional de Asociativismo y Economía Social y el Tribunal Nacional de Defensa de la Competencia;</w:t>
      </w:r>
    </w:p>
    <w:p w:rsidR="00D46836" w:rsidRDefault="00D46836" w:rsidP="00D46836">
      <w:r>
        <w:t>16. Los productores, asesores de seguros, agentes, intermediarios, peritos y liquidadores de seguros cuyas actividades estén regidas por las leyes 20.091 y 22.400, sus modificatorias, concordantes y complementarias;</w:t>
      </w:r>
    </w:p>
    <w:p w:rsidR="00D46836" w:rsidRDefault="00D46836" w:rsidP="00D46836">
      <w:r>
        <w:t>17. Los profesionales matriculados cuyas actividades estén reguladas por los consejos profesionales de ciencias económicas;</w:t>
      </w:r>
    </w:p>
    <w:p w:rsidR="00D46836" w:rsidRDefault="00D46836" w:rsidP="00D46836">
      <w:r>
        <w:t>18. Igualmente están obligados al deber de informar todas las personas jurídicas que reciben donaciones o aportes de terceros;</w:t>
      </w:r>
    </w:p>
    <w:p w:rsidR="00D46836" w:rsidRDefault="00D46836" w:rsidP="00D46836">
      <w:r>
        <w:t>19. Los agentes o corredores inmobiliarios matriculados y las sociedades de cualquier tipo que tengan por objeto el corretaje inmobiliario, integradas y/o administradas exclusivamente por agentes o corredores inmobiliarios matriculados;</w:t>
      </w:r>
    </w:p>
    <w:p w:rsidR="00D46836" w:rsidRDefault="00D46836" w:rsidP="00D46836">
      <w:r>
        <w:t>20. Las</w:t>
      </w:r>
      <w:r w:rsidR="00AB6B17">
        <w:t xml:space="preserve"> </w:t>
      </w:r>
      <w:r>
        <w:t>asociaciones mutuales y cooperativas reguladas por las leyes 20.321 y 20.337 respectivamente;</w:t>
      </w:r>
    </w:p>
    <w:p w:rsidR="00D46836" w:rsidRDefault="00D46836" w:rsidP="00D46836">
      <w:r>
        <w:t>21. Las personas humanas o jurídicas cuya actividad habitual sea la compraventa de automóviles, camiones, motos, ómnibus y microómnibus, tractores, maquinaria agrícola y vial, naves, yates y similares, aeronaves y aerodinos.</w:t>
      </w:r>
    </w:p>
    <w:p w:rsidR="00D46836" w:rsidRDefault="00D46836" w:rsidP="00D46836">
      <w:r>
        <w:t>22. Las personas humanas o jurídicas que actúen como fiduciarios, en cualquier tipo de fideicomiso y las personas humanas o jurídicas titulares de o vinculadas, directa o indirectamente, con cuentas de fideicomisos, fiduciantes y fiduciarios en virtud de contratos de fideicomiso.</w:t>
      </w:r>
    </w:p>
    <w:p w:rsidR="00D46836" w:rsidRDefault="00D46836" w:rsidP="00D46836">
      <w:r>
        <w:t>23. Las personas jurídicas que cumplen funciones de organización y regulación de los deportes profesionales.</w:t>
      </w:r>
    </w:p>
    <w:p w:rsidR="00D46836" w:rsidRDefault="00D46836" w:rsidP="00D46836">
      <w:r>
        <w:t>(Artículo sustituido por art. 15 de la Ley Nº 26.683 B.O. 21/06/2011)</w:t>
      </w:r>
    </w:p>
    <w:p w:rsidR="00D46836" w:rsidRDefault="00D46836" w:rsidP="00D46836">
      <w:r>
        <w:t>ARTICULO 20 bis. — El deber de informar es la obligación legal que tienen los sujetos enumerados en el artículo 20, en su ámbito de actuación, de poner a disposición de la Unidad de Información Financiera (UIF) la documentación recabada de sus clientes en cumplimiento de lo establecido en el artículo 21 inciso a) y de llevar a conocimiento de la Unidad de Información Financiera (UIF), las conductas o actividades de las personas humanas o jurídicas, a través de las cuales pudiere inferirse la existencia de una situación atípica que fuera susceptible de configurar un hecho u operación sospechosa, de lavado de activos o financiación de terrorismo.</w:t>
      </w:r>
    </w:p>
    <w:p w:rsidR="00D46836" w:rsidRDefault="00D46836" w:rsidP="00D46836"/>
    <w:p w:rsidR="00D46836" w:rsidRDefault="00D46836" w:rsidP="00D46836">
      <w:r>
        <w:lastRenderedPageBreak/>
        <w:t>El conocimiento de cualquier hecho u operación sospechosa, impondrá a tales sujetos la obligatoriedad del ejercicio de la actividad descripta precedentemente.</w:t>
      </w:r>
    </w:p>
    <w:p w:rsidR="00D46836" w:rsidRDefault="00D46836" w:rsidP="00D46836">
      <w:r>
        <w:t>La Unidad de Información Financiera (UIF) determinará el procedimiento y la oportunidad a partir de la cual los obligados cumplirán ante ella el deber de informar que establece el artículo 20.</w:t>
      </w:r>
    </w:p>
    <w:p w:rsidR="00D46836" w:rsidRDefault="00D46836" w:rsidP="00D46836">
      <w:r>
        <w:t>En el supuesto de que el sujeto obligado se trate de una persona jurídica regularmente constituida, deberá designarse un oficial de cumplimiento por el órgano de administración, en los supuestos que lo establezca la reglamentación. Su función será formalizar las presentaciones que deban efectuarse en el marco de las obligaciones establecidas por la ley y las directivas e instrucciones emitidas en consecuencia. No obstante ello, la responsabilidad del deber de informar conforme el artículo 21 es solidaria e ilimitada para la totalidad de los integrantes del órgano de administración.</w:t>
      </w:r>
    </w:p>
    <w:p w:rsidR="00D46836" w:rsidRDefault="00D46836" w:rsidP="00D46836">
      <w:r>
        <w:t>En el supuesto de que el sujeto obligado se trate de una sociedad irregular, la obligación de informar recaerá en cualquiera de los socios de la misma.</w:t>
      </w:r>
    </w:p>
    <w:p w:rsidR="00D46836" w:rsidRDefault="00D46836" w:rsidP="00D46836">
      <w:r>
        <w:t>Para el caso de que el sujeto obligado se trate de un organismo público de los enumerados en los incisos 6 y 15 del artículo 20, deberá designarse un oficial de cumplimiento a los efectos de formalizar las presentaciones que deban efectuarse en el marco de las obligaciones establecidas por la ley y las directivas e instrucciones emitidas en consecuencia. No obstante ello la responsabilidad del deber de informar conforme el artículo 21 corresponde exclusivamente al titular del organismo.</w:t>
      </w:r>
    </w:p>
    <w:p w:rsidR="00325EF3" w:rsidRDefault="00D46836" w:rsidP="00711759">
      <w:r>
        <w:t xml:space="preserve">(Artículo incorporado por art. 16 de la Ley Nº 26.683 </w:t>
      </w:r>
      <w:r w:rsidR="00711759">
        <w:t>B.O. 21/06/2011).-</w:t>
      </w:r>
    </w:p>
    <w:p w:rsidR="00711759" w:rsidRDefault="003F40BD" w:rsidP="00711759">
      <w:pPr>
        <w:jc w:val="right"/>
      </w:pPr>
      <w:hyperlink w:anchor="SO" w:history="1">
        <w:r w:rsidR="00711759" w:rsidRPr="00711759">
          <w:rPr>
            <w:rStyle w:val="Hipervnculo"/>
          </w:rPr>
          <w:t>VOLVER AL INICIO</w:t>
        </w:r>
      </w:hyperlink>
    </w:p>
    <w:p w:rsidR="00711759" w:rsidRDefault="00711759" w:rsidP="00711759"/>
    <w:p w:rsidR="00711759" w:rsidRDefault="00711759" w:rsidP="00711759"/>
    <w:p w:rsidR="00711759" w:rsidRDefault="00711759" w:rsidP="00711759"/>
    <w:p w:rsidR="00711759" w:rsidRDefault="00711759" w:rsidP="00711759"/>
    <w:p w:rsidR="00711759" w:rsidRDefault="00711759" w:rsidP="00711759"/>
    <w:sectPr w:rsidR="00711759" w:rsidSect="00291CE9">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E9"/>
    <w:rsid w:val="00001251"/>
    <w:rsid w:val="00016F13"/>
    <w:rsid w:val="00022D86"/>
    <w:rsid w:val="00023AF9"/>
    <w:rsid w:val="0003090C"/>
    <w:rsid w:val="000338F0"/>
    <w:rsid w:val="00035233"/>
    <w:rsid w:val="00046928"/>
    <w:rsid w:val="00073ACB"/>
    <w:rsid w:val="00076382"/>
    <w:rsid w:val="0008063B"/>
    <w:rsid w:val="00080E92"/>
    <w:rsid w:val="000A7738"/>
    <w:rsid w:val="000F7164"/>
    <w:rsid w:val="00102EE7"/>
    <w:rsid w:val="00121BE0"/>
    <w:rsid w:val="0012350F"/>
    <w:rsid w:val="0012394A"/>
    <w:rsid w:val="00124D89"/>
    <w:rsid w:val="00124F4D"/>
    <w:rsid w:val="001255C4"/>
    <w:rsid w:val="0014539E"/>
    <w:rsid w:val="001544F1"/>
    <w:rsid w:val="001554FF"/>
    <w:rsid w:val="001566D9"/>
    <w:rsid w:val="00160944"/>
    <w:rsid w:val="00171E51"/>
    <w:rsid w:val="001730A6"/>
    <w:rsid w:val="001838D0"/>
    <w:rsid w:val="001921F8"/>
    <w:rsid w:val="00192B4C"/>
    <w:rsid w:val="001A379D"/>
    <w:rsid w:val="001B4DA7"/>
    <w:rsid w:val="001D2CA6"/>
    <w:rsid w:val="00201F84"/>
    <w:rsid w:val="00203DF3"/>
    <w:rsid w:val="00204D7F"/>
    <w:rsid w:val="00206D26"/>
    <w:rsid w:val="0021214E"/>
    <w:rsid w:val="00212291"/>
    <w:rsid w:val="00225F8F"/>
    <w:rsid w:val="00232DF1"/>
    <w:rsid w:val="00237A67"/>
    <w:rsid w:val="00252CEC"/>
    <w:rsid w:val="00273F7B"/>
    <w:rsid w:val="002768E3"/>
    <w:rsid w:val="00282719"/>
    <w:rsid w:val="00291CE9"/>
    <w:rsid w:val="00292147"/>
    <w:rsid w:val="00292FF0"/>
    <w:rsid w:val="002A1E40"/>
    <w:rsid w:val="002B055C"/>
    <w:rsid w:val="002B1567"/>
    <w:rsid w:val="002B1E4C"/>
    <w:rsid w:val="002C5F56"/>
    <w:rsid w:val="002F734F"/>
    <w:rsid w:val="003179AE"/>
    <w:rsid w:val="00325EF3"/>
    <w:rsid w:val="003274DE"/>
    <w:rsid w:val="00330B1A"/>
    <w:rsid w:val="00341D85"/>
    <w:rsid w:val="00347ACA"/>
    <w:rsid w:val="00363C59"/>
    <w:rsid w:val="00364A35"/>
    <w:rsid w:val="0038031A"/>
    <w:rsid w:val="003A0725"/>
    <w:rsid w:val="003A23C8"/>
    <w:rsid w:val="003A529F"/>
    <w:rsid w:val="003A5682"/>
    <w:rsid w:val="003A6BD0"/>
    <w:rsid w:val="003C2260"/>
    <w:rsid w:val="003D24B2"/>
    <w:rsid w:val="003D67BB"/>
    <w:rsid w:val="003E4E12"/>
    <w:rsid w:val="003E5C67"/>
    <w:rsid w:val="003F40BD"/>
    <w:rsid w:val="003F6B77"/>
    <w:rsid w:val="003F7620"/>
    <w:rsid w:val="00422E67"/>
    <w:rsid w:val="00424227"/>
    <w:rsid w:val="00431FD0"/>
    <w:rsid w:val="004321E9"/>
    <w:rsid w:val="004454DD"/>
    <w:rsid w:val="0047175A"/>
    <w:rsid w:val="0047698E"/>
    <w:rsid w:val="00495061"/>
    <w:rsid w:val="004A39A0"/>
    <w:rsid w:val="004B42B0"/>
    <w:rsid w:val="004C2D27"/>
    <w:rsid w:val="004C3245"/>
    <w:rsid w:val="004C413B"/>
    <w:rsid w:val="004D5EF1"/>
    <w:rsid w:val="004E47FE"/>
    <w:rsid w:val="004E5B5A"/>
    <w:rsid w:val="004E5F6C"/>
    <w:rsid w:val="004F110E"/>
    <w:rsid w:val="0051047D"/>
    <w:rsid w:val="00517720"/>
    <w:rsid w:val="005202F7"/>
    <w:rsid w:val="00531BA6"/>
    <w:rsid w:val="005343A3"/>
    <w:rsid w:val="005371EE"/>
    <w:rsid w:val="00543C88"/>
    <w:rsid w:val="005565E2"/>
    <w:rsid w:val="00572A84"/>
    <w:rsid w:val="00597995"/>
    <w:rsid w:val="005B0409"/>
    <w:rsid w:val="005B48DC"/>
    <w:rsid w:val="005C1A0F"/>
    <w:rsid w:val="005D4CA6"/>
    <w:rsid w:val="005E263F"/>
    <w:rsid w:val="005E4F7B"/>
    <w:rsid w:val="005E6547"/>
    <w:rsid w:val="00602176"/>
    <w:rsid w:val="0061404A"/>
    <w:rsid w:val="006251D1"/>
    <w:rsid w:val="006420EA"/>
    <w:rsid w:val="00670BC9"/>
    <w:rsid w:val="00697E75"/>
    <w:rsid w:val="006C04E8"/>
    <w:rsid w:val="006D43DC"/>
    <w:rsid w:val="006F7785"/>
    <w:rsid w:val="00700E4B"/>
    <w:rsid w:val="00711759"/>
    <w:rsid w:val="00716929"/>
    <w:rsid w:val="007306AC"/>
    <w:rsid w:val="00732A33"/>
    <w:rsid w:val="007903E6"/>
    <w:rsid w:val="007A2AD5"/>
    <w:rsid w:val="007A6443"/>
    <w:rsid w:val="007C6E9F"/>
    <w:rsid w:val="007E0715"/>
    <w:rsid w:val="007E533D"/>
    <w:rsid w:val="00802F29"/>
    <w:rsid w:val="0081675D"/>
    <w:rsid w:val="008224EC"/>
    <w:rsid w:val="0082590A"/>
    <w:rsid w:val="00843E50"/>
    <w:rsid w:val="00864967"/>
    <w:rsid w:val="00883EF2"/>
    <w:rsid w:val="00886B9F"/>
    <w:rsid w:val="008A1CF5"/>
    <w:rsid w:val="008D4493"/>
    <w:rsid w:val="008F0E08"/>
    <w:rsid w:val="00910233"/>
    <w:rsid w:val="0091409C"/>
    <w:rsid w:val="0093065A"/>
    <w:rsid w:val="00933842"/>
    <w:rsid w:val="00946218"/>
    <w:rsid w:val="009479F9"/>
    <w:rsid w:val="00950AA0"/>
    <w:rsid w:val="00952D46"/>
    <w:rsid w:val="009554D0"/>
    <w:rsid w:val="00971456"/>
    <w:rsid w:val="009719FF"/>
    <w:rsid w:val="009744FC"/>
    <w:rsid w:val="00976EE3"/>
    <w:rsid w:val="00991E02"/>
    <w:rsid w:val="0099257A"/>
    <w:rsid w:val="009A0D77"/>
    <w:rsid w:val="009A52AD"/>
    <w:rsid w:val="009C2E7C"/>
    <w:rsid w:val="009D2B20"/>
    <w:rsid w:val="009D3449"/>
    <w:rsid w:val="009F73A5"/>
    <w:rsid w:val="00A01BDB"/>
    <w:rsid w:val="00A07F89"/>
    <w:rsid w:val="00A13201"/>
    <w:rsid w:val="00A21141"/>
    <w:rsid w:val="00A24975"/>
    <w:rsid w:val="00A46733"/>
    <w:rsid w:val="00A50E78"/>
    <w:rsid w:val="00A96329"/>
    <w:rsid w:val="00AA0D3B"/>
    <w:rsid w:val="00AA2FD7"/>
    <w:rsid w:val="00AB6B17"/>
    <w:rsid w:val="00AB78A9"/>
    <w:rsid w:val="00AC5C1F"/>
    <w:rsid w:val="00AD7003"/>
    <w:rsid w:val="00AD75CB"/>
    <w:rsid w:val="00AF37FF"/>
    <w:rsid w:val="00AF5847"/>
    <w:rsid w:val="00B030C8"/>
    <w:rsid w:val="00B11972"/>
    <w:rsid w:val="00B267F9"/>
    <w:rsid w:val="00B42924"/>
    <w:rsid w:val="00B53795"/>
    <w:rsid w:val="00B608C9"/>
    <w:rsid w:val="00B74C82"/>
    <w:rsid w:val="00B74CC7"/>
    <w:rsid w:val="00B8288D"/>
    <w:rsid w:val="00B84968"/>
    <w:rsid w:val="00B96038"/>
    <w:rsid w:val="00B96B86"/>
    <w:rsid w:val="00B977CE"/>
    <w:rsid w:val="00BB3696"/>
    <w:rsid w:val="00BC5D16"/>
    <w:rsid w:val="00BE4186"/>
    <w:rsid w:val="00BF651A"/>
    <w:rsid w:val="00BF7EA9"/>
    <w:rsid w:val="00C121F0"/>
    <w:rsid w:val="00C1373F"/>
    <w:rsid w:val="00C16974"/>
    <w:rsid w:val="00C307B8"/>
    <w:rsid w:val="00C34E1B"/>
    <w:rsid w:val="00C617C8"/>
    <w:rsid w:val="00C67CE9"/>
    <w:rsid w:val="00C801EA"/>
    <w:rsid w:val="00C80FB7"/>
    <w:rsid w:val="00C904A9"/>
    <w:rsid w:val="00C9331A"/>
    <w:rsid w:val="00C97885"/>
    <w:rsid w:val="00CB195D"/>
    <w:rsid w:val="00CC3F09"/>
    <w:rsid w:val="00CD4B85"/>
    <w:rsid w:val="00CE638C"/>
    <w:rsid w:val="00CF5AD0"/>
    <w:rsid w:val="00D05EB0"/>
    <w:rsid w:val="00D1275C"/>
    <w:rsid w:val="00D30348"/>
    <w:rsid w:val="00D34DE6"/>
    <w:rsid w:val="00D44A21"/>
    <w:rsid w:val="00D46836"/>
    <w:rsid w:val="00D51D09"/>
    <w:rsid w:val="00D56CF3"/>
    <w:rsid w:val="00D62273"/>
    <w:rsid w:val="00D946F7"/>
    <w:rsid w:val="00DC51D9"/>
    <w:rsid w:val="00DC7F51"/>
    <w:rsid w:val="00DF0276"/>
    <w:rsid w:val="00DF28E4"/>
    <w:rsid w:val="00E03494"/>
    <w:rsid w:val="00E0748B"/>
    <w:rsid w:val="00E1133D"/>
    <w:rsid w:val="00E16667"/>
    <w:rsid w:val="00E33B70"/>
    <w:rsid w:val="00E441B9"/>
    <w:rsid w:val="00E54333"/>
    <w:rsid w:val="00E5673B"/>
    <w:rsid w:val="00E65986"/>
    <w:rsid w:val="00E82D1B"/>
    <w:rsid w:val="00E85DAF"/>
    <w:rsid w:val="00EA043D"/>
    <w:rsid w:val="00EA51D8"/>
    <w:rsid w:val="00EB5D24"/>
    <w:rsid w:val="00ED4814"/>
    <w:rsid w:val="00EE3906"/>
    <w:rsid w:val="00EE74CF"/>
    <w:rsid w:val="00EF591D"/>
    <w:rsid w:val="00F22B02"/>
    <w:rsid w:val="00F2597E"/>
    <w:rsid w:val="00F5079D"/>
    <w:rsid w:val="00F51889"/>
    <w:rsid w:val="00F5355E"/>
    <w:rsid w:val="00F54569"/>
    <w:rsid w:val="00F73D33"/>
    <w:rsid w:val="00F766F8"/>
    <w:rsid w:val="00F81A47"/>
    <w:rsid w:val="00F832E4"/>
    <w:rsid w:val="00FA4B70"/>
    <w:rsid w:val="00FB4A0F"/>
    <w:rsid w:val="00FC1C7F"/>
    <w:rsid w:val="00FC7E54"/>
    <w:rsid w:val="00FE2443"/>
    <w:rsid w:val="00FE4D30"/>
    <w:rsid w:val="00FE56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13255A-5DA7-0A4F-A6E0-D10753F1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5E2"/>
  </w:style>
  <w:style w:type="paragraph" w:styleId="Ttulo2">
    <w:name w:val="heading 2"/>
    <w:basedOn w:val="Normal"/>
    <w:link w:val="Ttulo2Car"/>
    <w:uiPriority w:val="9"/>
    <w:qFormat/>
    <w:rsid w:val="00124F4D"/>
    <w:pPr>
      <w:spacing w:before="100" w:beforeAutospacing="1" w:after="100" w:afterAutospacing="1" w:line="240" w:lineRule="auto"/>
      <w:outlineLvl w:val="1"/>
    </w:pPr>
    <w:rPr>
      <w:rFonts w:ascii="Times New Roman" w:eastAsia="Times New Roman" w:hAnsi="Times New Roman" w:cs="Times New Roman"/>
      <w:b/>
      <w:bCs/>
      <w:sz w:val="36"/>
      <w:szCs w:val="36"/>
      <w:lang w:eastAsia="es-ES_tradnl"/>
    </w:rPr>
  </w:style>
  <w:style w:type="paragraph" w:styleId="Ttulo4">
    <w:name w:val="heading 4"/>
    <w:basedOn w:val="Normal"/>
    <w:link w:val="Ttulo4Car"/>
    <w:uiPriority w:val="9"/>
    <w:qFormat/>
    <w:rsid w:val="00124F4D"/>
    <w:pPr>
      <w:spacing w:before="100" w:beforeAutospacing="1" w:after="100" w:afterAutospacing="1" w:line="240" w:lineRule="auto"/>
      <w:outlineLvl w:val="3"/>
    </w:pPr>
    <w:rPr>
      <w:rFonts w:ascii="Times New Roman" w:eastAsia="Times New Roman" w:hAnsi="Times New Roman" w:cs="Times New Roman"/>
      <w:b/>
      <w:bCs/>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91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25EF3"/>
    <w:rPr>
      <w:color w:val="0000FF" w:themeColor="hyperlink"/>
      <w:u w:val="single"/>
    </w:rPr>
  </w:style>
  <w:style w:type="character" w:styleId="Hipervnculovisitado">
    <w:name w:val="FollowedHyperlink"/>
    <w:basedOn w:val="Fuentedeprrafopredeter"/>
    <w:uiPriority w:val="99"/>
    <w:semiHidden/>
    <w:unhideWhenUsed/>
    <w:rsid w:val="00325EF3"/>
    <w:rPr>
      <w:color w:val="800080" w:themeColor="followedHyperlink"/>
      <w:u w:val="single"/>
    </w:rPr>
  </w:style>
  <w:style w:type="character" w:customStyle="1" w:styleId="Ttulo2Car">
    <w:name w:val="Título 2 Car"/>
    <w:basedOn w:val="Fuentedeprrafopredeter"/>
    <w:link w:val="Ttulo2"/>
    <w:uiPriority w:val="9"/>
    <w:rsid w:val="00124F4D"/>
    <w:rPr>
      <w:rFonts w:ascii="Times New Roman" w:eastAsia="Times New Roman" w:hAnsi="Times New Roman" w:cs="Times New Roman"/>
      <w:b/>
      <w:bCs/>
      <w:sz w:val="36"/>
      <w:szCs w:val="36"/>
      <w:lang w:eastAsia="es-ES_tradnl"/>
    </w:rPr>
  </w:style>
  <w:style w:type="character" w:customStyle="1" w:styleId="Ttulo4Car">
    <w:name w:val="Título 4 Car"/>
    <w:basedOn w:val="Fuentedeprrafopredeter"/>
    <w:link w:val="Ttulo4"/>
    <w:uiPriority w:val="9"/>
    <w:rsid w:val="00124F4D"/>
    <w:rPr>
      <w:rFonts w:ascii="Times New Roman" w:eastAsia="Times New Roman" w:hAnsi="Times New Roman" w:cs="Times New Roman"/>
      <w:b/>
      <w:bCs/>
      <w:sz w:val="24"/>
      <w:szCs w:val="24"/>
      <w:lang w:eastAsia="es-ES_tradnl"/>
    </w:rPr>
  </w:style>
  <w:style w:type="character" w:styleId="Textoennegrita">
    <w:name w:val="Strong"/>
    <w:basedOn w:val="Fuentedeprrafopredeter"/>
    <w:uiPriority w:val="22"/>
    <w:qFormat/>
    <w:rsid w:val="0014539E"/>
    <w:rPr>
      <w:b/>
      <w:bCs/>
    </w:rPr>
  </w:style>
  <w:style w:type="character" w:customStyle="1" w:styleId="apple-converted-space">
    <w:name w:val="apple-converted-space"/>
    <w:basedOn w:val="Fuentedeprrafopredeter"/>
    <w:rsid w:val="0014539E"/>
  </w:style>
  <w:style w:type="character" w:customStyle="1" w:styleId="UnresolvedMention">
    <w:name w:val="Unresolved Mention"/>
    <w:basedOn w:val="Fuentedeprrafopredeter"/>
    <w:uiPriority w:val="99"/>
    <w:semiHidden/>
    <w:unhideWhenUsed/>
    <w:rsid w:val="00145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19480">
      <w:bodyDiv w:val="1"/>
      <w:marLeft w:val="0"/>
      <w:marRight w:val="0"/>
      <w:marTop w:val="0"/>
      <w:marBottom w:val="0"/>
      <w:divBdr>
        <w:top w:val="none" w:sz="0" w:space="0" w:color="auto"/>
        <w:left w:val="none" w:sz="0" w:space="0" w:color="auto"/>
        <w:bottom w:val="none" w:sz="0" w:space="0" w:color="auto"/>
        <w:right w:val="none" w:sz="0" w:space="0" w:color="auto"/>
      </w:divBdr>
    </w:div>
    <w:div w:id="1124620065">
      <w:bodyDiv w:val="1"/>
      <w:marLeft w:val="0"/>
      <w:marRight w:val="0"/>
      <w:marTop w:val="0"/>
      <w:marBottom w:val="0"/>
      <w:divBdr>
        <w:top w:val="none" w:sz="0" w:space="0" w:color="auto"/>
        <w:left w:val="none" w:sz="0" w:space="0" w:color="auto"/>
        <w:bottom w:val="none" w:sz="0" w:space="0" w:color="auto"/>
        <w:right w:val="none" w:sz="0" w:space="0" w:color="auto"/>
      </w:divBdr>
    </w:div>
    <w:div w:id="1128595698">
      <w:bodyDiv w:val="1"/>
      <w:marLeft w:val="0"/>
      <w:marRight w:val="0"/>
      <w:marTop w:val="0"/>
      <w:marBottom w:val="0"/>
      <w:divBdr>
        <w:top w:val="none" w:sz="0" w:space="0" w:color="auto"/>
        <w:left w:val="none" w:sz="0" w:space="0" w:color="auto"/>
        <w:bottom w:val="none" w:sz="0" w:space="0" w:color="auto"/>
        <w:right w:val="none" w:sz="0" w:space="0" w:color="auto"/>
      </w:divBdr>
    </w:div>
    <w:div w:id="1247417807">
      <w:bodyDiv w:val="1"/>
      <w:marLeft w:val="0"/>
      <w:marRight w:val="0"/>
      <w:marTop w:val="0"/>
      <w:marBottom w:val="0"/>
      <w:divBdr>
        <w:top w:val="none" w:sz="0" w:space="0" w:color="auto"/>
        <w:left w:val="none" w:sz="0" w:space="0" w:color="auto"/>
        <w:bottom w:val="none" w:sz="0" w:space="0" w:color="auto"/>
        <w:right w:val="none" w:sz="0" w:space="0" w:color="auto"/>
      </w:divBdr>
    </w:div>
    <w:div w:id="126137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viciosweb.afip.gob.ar/genericos/guiaDeTramites/VerGuia.aspx?tr=4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erviciosweb.afip.gob.ar/genericos/guiaDeTramites/VerGuia.aspx?tr=55" TargetMode="External"/><Relationship Id="rId5" Type="http://schemas.openxmlformats.org/officeDocument/2006/relationships/hyperlink" Target="https://serviciosweb.afip.gob.ar/genericos/guiaDeTramites/VerGuia.aspx?tr=1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FFAFA-5747-4BBC-989D-5C961B5D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1</Pages>
  <Words>4648</Words>
  <Characters>25566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Avelino Encina</dc:creator>
  <cp:lastModifiedBy>TWD</cp:lastModifiedBy>
  <cp:revision>7</cp:revision>
  <cp:lastPrinted>2019-04-18T22:09:00Z</cp:lastPrinted>
  <dcterms:created xsi:type="dcterms:W3CDTF">2019-08-02T15:28:00Z</dcterms:created>
  <dcterms:modified xsi:type="dcterms:W3CDTF">2020-01-15T14:25:00Z</dcterms:modified>
</cp:coreProperties>
</file>